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35" w:rsidRPr="001B6685" w:rsidRDefault="00E95135" w:rsidP="00E95135">
      <w:pPr>
        <w:rPr>
          <w:rFonts w:ascii="Calibri" w:hAnsi="Calibri" w:cs="Calibri"/>
          <w:sz w:val="22"/>
          <w:szCs w:val="22"/>
        </w:rPr>
      </w:pPr>
    </w:p>
    <w:p w:rsidR="00487208" w:rsidRDefault="00487208" w:rsidP="00BA7353">
      <w:pPr>
        <w:pStyle w:val="a4"/>
        <w:jc w:val="left"/>
        <w:rPr>
          <w:rFonts w:ascii="Calibri" w:hAnsi="Calibri" w:cs="Calibri"/>
          <w:b w:val="0"/>
          <w:szCs w:val="22"/>
        </w:rPr>
      </w:pPr>
    </w:p>
    <w:p w:rsidR="0047481A" w:rsidRPr="001B6685" w:rsidRDefault="0047481A" w:rsidP="00BA7353">
      <w:pPr>
        <w:pStyle w:val="a4"/>
        <w:jc w:val="left"/>
        <w:rPr>
          <w:rFonts w:ascii="Calibri" w:hAnsi="Calibri" w:cs="Calibri"/>
          <w:szCs w:val="22"/>
          <w:u w:val="single"/>
        </w:rPr>
      </w:pPr>
      <w:r w:rsidRPr="001B6685">
        <w:rPr>
          <w:rFonts w:ascii="Calibri" w:hAnsi="Calibri" w:cs="Calibri"/>
          <w:szCs w:val="22"/>
          <w:u w:val="single"/>
        </w:rPr>
        <w:t xml:space="preserve">ΤΜΗΜΑ </w:t>
      </w:r>
      <w:r w:rsidR="001D2F3E" w:rsidRPr="001B6685">
        <w:rPr>
          <w:rFonts w:ascii="Calibri" w:hAnsi="Calibri" w:cs="Calibri"/>
          <w:szCs w:val="22"/>
          <w:u w:val="single"/>
        </w:rPr>
        <w:t>Γ</w:t>
      </w:r>
      <w:r w:rsidRPr="001B6685">
        <w:rPr>
          <w:rFonts w:ascii="Calibri" w:hAnsi="Calibri" w:cs="Calibri"/>
          <w:szCs w:val="22"/>
          <w:u w:val="single"/>
        </w:rPr>
        <w:t xml:space="preserve"> – </w:t>
      </w:r>
      <w:r w:rsidR="00BF6B38" w:rsidRPr="001B6685">
        <w:rPr>
          <w:rFonts w:ascii="Calibri" w:hAnsi="Calibri" w:cs="Calibri"/>
          <w:szCs w:val="22"/>
          <w:u w:val="single"/>
        </w:rPr>
        <w:t>Στοιχεία της αίτησης</w:t>
      </w:r>
      <w:r w:rsidRPr="001B6685">
        <w:rPr>
          <w:rFonts w:ascii="Calibri" w:hAnsi="Calibri" w:cs="Calibri"/>
          <w:szCs w:val="22"/>
          <w:u w:val="single"/>
        </w:rPr>
        <w:t xml:space="preserve">: </w:t>
      </w:r>
    </w:p>
    <w:p w:rsidR="00BB3F47" w:rsidRPr="001B6685" w:rsidRDefault="00BB3F47" w:rsidP="00BB3F47">
      <w:pPr>
        <w:rPr>
          <w:rFonts w:ascii="Calibri" w:hAnsi="Calibri" w:cs="Calibr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135"/>
        <w:gridCol w:w="564"/>
        <w:gridCol w:w="1701"/>
        <w:gridCol w:w="1701"/>
        <w:gridCol w:w="1986"/>
        <w:gridCol w:w="1701"/>
      </w:tblGrid>
      <w:tr w:rsidR="00D646C4" w:rsidRPr="00B218A6" w:rsidTr="007C294B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B218A6" w:rsidRDefault="00D646C4" w:rsidP="008A0922">
            <w:pPr>
              <w:ind w:right="-15"/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B218A6" w:rsidRDefault="00D646C4" w:rsidP="005632A9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Αιτούμενο</w:t>
            </w:r>
          </w:p>
          <w:p w:rsidR="00D646C4" w:rsidRPr="00B218A6" w:rsidRDefault="00D646C4" w:rsidP="00E52A95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Φυτοπροστατευτικό</w:t>
            </w:r>
            <w:r w:rsidR="00E52A95" w:rsidRPr="00B218A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B218A6">
              <w:rPr>
                <w:rFonts w:ascii="Calibri" w:hAnsi="Calibri" w:cs="Calibri"/>
                <w:sz w:val="21"/>
                <w:szCs w:val="21"/>
              </w:rPr>
              <w:t>Προϊόν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3C1A4C" w:rsidP="003C1A4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Δραστική ουσία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ΑΑΔΑ</w:t>
            </w:r>
          </w:p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B218A6" w:rsidRDefault="00D646C4" w:rsidP="00AD4FB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  <w:lang w:val="en-US"/>
              </w:rPr>
              <w:t>PPPAMS</w:t>
            </w:r>
            <w:r w:rsidR="00AD4FBC" w:rsidRPr="00B218A6">
              <w:rPr>
                <w:rFonts w:ascii="Calibri" w:hAnsi="Calibri" w:cs="Calibri"/>
                <w:sz w:val="21"/>
                <w:szCs w:val="21"/>
              </w:rPr>
              <w:t xml:space="preserve"> (αποδεικτικό)</w:t>
            </w:r>
          </w:p>
        </w:tc>
      </w:tr>
      <w:tr w:rsidR="00D646C4" w:rsidRPr="00B218A6" w:rsidTr="007C294B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B218A6" w:rsidRDefault="00D646C4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B218A6" w:rsidRDefault="00D646C4" w:rsidP="0047481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E52A95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E52A95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SAFRAN</w:t>
            </w:r>
            <w:r w:rsidRPr="00B218A6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B218A6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ULTRA</w:t>
            </w:r>
            <w:r w:rsidRPr="00B218A6">
              <w:rPr>
                <w:rFonts w:ascii="Calibri" w:hAnsi="Calibri" w:cs="Calibri"/>
                <w:bCs/>
                <w:sz w:val="21"/>
                <w:szCs w:val="21"/>
              </w:rPr>
              <w:t xml:space="preserve"> 1,8 </w:t>
            </w:r>
            <w:r w:rsidRPr="00B218A6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EC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E52A95" w:rsidP="0047481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B218A6">
              <w:rPr>
                <w:rFonts w:ascii="Calibri" w:hAnsi="Calibri" w:cs="Calibri"/>
                <w:i/>
                <w:sz w:val="21"/>
                <w:szCs w:val="21"/>
              </w:rPr>
              <w:t>Abamectin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E52A95" w:rsidP="00BA5B3F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14.520/11-06-2015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487CEE" w:rsidRDefault="00D646C4" w:rsidP="008B7C29">
            <w:pPr>
              <w:rPr>
                <w:rFonts w:ascii="Calibri" w:hAnsi="Calibri" w:cs="Calibri"/>
                <w:i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4C51F9" w:rsidRPr="00B218A6" w:rsidRDefault="004C51F9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B218A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B31BAC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Πεδίο εφαρμογής: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B31BAC" w:rsidP="00AE0972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 xml:space="preserve">για περιορισμένη και ελεγχόμενη χρήση στην καλλιέργεια του βαμβακιού </w:t>
            </w:r>
          </w:p>
        </w:tc>
      </w:tr>
    </w:tbl>
    <w:p w:rsidR="00F20778" w:rsidRPr="00B218A6" w:rsidRDefault="00F20778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B218A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47979" w:rsidRDefault="00AE0972" w:rsidP="00347979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Κίτρινο</w:t>
            </w:r>
            <w:r w:rsidR="00347979" w:rsidRPr="00347979">
              <w:rPr>
                <w:rFonts w:ascii="Calibri" w:hAnsi="Calibri" w:cs="Calibri"/>
                <w:sz w:val="21"/>
                <w:szCs w:val="21"/>
              </w:rPr>
              <w:t>ς</w:t>
            </w:r>
            <w:r w:rsidRPr="00B218A6">
              <w:rPr>
                <w:rFonts w:ascii="Calibri" w:hAnsi="Calibri" w:cs="Calibri"/>
                <w:sz w:val="21"/>
                <w:szCs w:val="21"/>
              </w:rPr>
              <w:t xml:space="preserve"> τετράνυχο</w:t>
            </w:r>
            <w:r w:rsidR="00347979">
              <w:rPr>
                <w:rFonts w:ascii="Calibri" w:hAnsi="Calibri" w:cs="Calibri"/>
                <w:sz w:val="21"/>
                <w:szCs w:val="21"/>
              </w:rPr>
              <w:t>ς</w:t>
            </w:r>
            <w:r w:rsidRPr="00B218A6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Pr="00B218A6">
              <w:rPr>
                <w:rFonts w:ascii="Calibri" w:eastAsia="MS Mincho" w:hAnsi="Calibri" w:cs="Calibri"/>
                <w:color w:val="000000"/>
                <w:sz w:val="21"/>
                <w:szCs w:val="21"/>
                <w:lang w:eastAsia="en-US"/>
              </w:rPr>
              <w:t>προνύμφες και ακμαία)</w:t>
            </w:r>
            <w:r w:rsidR="00347979">
              <w:rPr>
                <w:rFonts w:ascii="Calibri" w:eastAsia="MS Mincho" w:hAnsi="Calibri" w:cs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347979" w:rsidRPr="00347979">
              <w:rPr>
                <w:rFonts w:ascii="Calibri" w:eastAsia="MS Mincho" w:hAnsi="Calibri" w:cs="Calibri"/>
                <w:i/>
                <w:color w:val="000000"/>
                <w:sz w:val="21"/>
                <w:szCs w:val="21"/>
                <w:lang w:val="en-US" w:eastAsia="en-US"/>
              </w:rPr>
              <w:t>Tetranychus</w:t>
            </w:r>
            <w:r w:rsidR="00347979" w:rsidRPr="00347979">
              <w:rPr>
                <w:rFonts w:ascii="Calibri" w:eastAsia="MS Mincho" w:hAnsi="Calibri" w:cs="Calibri"/>
                <w:i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347979" w:rsidRPr="00347979">
              <w:rPr>
                <w:rFonts w:ascii="Calibri" w:eastAsia="MS Mincho" w:hAnsi="Calibri" w:cs="Calibri"/>
                <w:i/>
                <w:color w:val="000000"/>
                <w:sz w:val="21"/>
                <w:szCs w:val="21"/>
                <w:lang w:val="en-US" w:eastAsia="en-US"/>
              </w:rPr>
              <w:t>urticae</w:t>
            </w:r>
            <w:r w:rsidR="00347979" w:rsidRPr="00347979">
              <w:rPr>
                <w:rFonts w:ascii="Calibri" w:eastAsia="MS Mincho" w:hAnsi="Calibri" w:cs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</w:tbl>
    <w:p w:rsidR="00D646C4" w:rsidRPr="00B218A6" w:rsidRDefault="00D646C4">
      <w:pPr>
        <w:rPr>
          <w:rFonts w:ascii="Calibri" w:hAnsi="Calibri" w:cs="Calibri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2853"/>
        <w:gridCol w:w="3033"/>
        <w:gridCol w:w="3929"/>
      </w:tblGrid>
      <w:tr w:rsidR="003433BD" w:rsidRPr="00B218A6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3433BD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3433BD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Λήξη</w:t>
            </w:r>
          </w:p>
        </w:tc>
      </w:tr>
      <w:tr w:rsidR="003433BD" w:rsidRPr="00B218A6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AE0972" w:rsidP="008F0C00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218A6">
              <w:rPr>
                <w:rFonts w:ascii="Calibri" w:hAnsi="Calibri" w:cs="Calibri"/>
                <w:i/>
                <w:sz w:val="21"/>
                <w:szCs w:val="21"/>
              </w:rPr>
              <w:t>01/06/</w:t>
            </w:r>
            <w:r w:rsidR="00B218A6">
              <w:rPr>
                <w:rFonts w:ascii="Calibri" w:hAnsi="Calibri" w:cs="Calibri"/>
                <w:i/>
                <w:sz w:val="21"/>
                <w:szCs w:val="21"/>
              </w:rPr>
              <w:t>20</w:t>
            </w:r>
            <w:r w:rsidRPr="00B218A6">
              <w:rPr>
                <w:rFonts w:ascii="Calibri" w:hAnsi="Calibri" w:cs="Calibri"/>
                <w:i/>
                <w:sz w:val="21"/>
                <w:szCs w:val="21"/>
              </w:rPr>
              <w:t>19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AE0972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i/>
                <w:sz w:val="21"/>
                <w:szCs w:val="21"/>
              </w:rPr>
              <w:t>30/09/</w:t>
            </w:r>
            <w:r w:rsidR="00B218A6">
              <w:rPr>
                <w:rFonts w:ascii="Calibri" w:hAnsi="Calibri" w:cs="Calibri"/>
                <w:i/>
                <w:sz w:val="21"/>
                <w:szCs w:val="21"/>
              </w:rPr>
              <w:t>20</w:t>
            </w:r>
            <w:r w:rsidRPr="00B218A6">
              <w:rPr>
                <w:rFonts w:ascii="Calibri" w:hAnsi="Calibri" w:cs="Calibri"/>
                <w:i/>
                <w:sz w:val="21"/>
                <w:szCs w:val="21"/>
              </w:rPr>
              <w:t>19</w:t>
            </w:r>
          </w:p>
        </w:tc>
      </w:tr>
    </w:tbl>
    <w:p w:rsidR="006F21F3" w:rsidRPr="00B218A6" w:rsidRDefault="006F21F3">
      <w:pPr>
        <w:rPr>
          <w:rFonts w:ascii="Calibri" w:hAnsi="Calibri" w:cs="Calibri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720"/>
      </w:tblGrid>
      <w:tr w:rsidR="00100296" w:rsidRPr="00B218A6" w:rsidTr="00B23E2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B218A6" w:rsidRDefault="00100296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5.</w:t>
            </w:r>
          </w:p>
        </w:tc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B218A6" w:rsidRDefault="00C12D97" w:rsidP="00100296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Βασική αιτιολόγηση του κινδύνου</w:t>
            </w:r>
            <w:r w:rsidR="00100296" w:rsidRPr="00B218A6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D646C4" w:rsidRPr="00B218A6" w:rsidTr="00B23E26"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B218A6" w:rsidRDefault="00D646C4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Περιπτώσεις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Αιτιολόγηση</w:t>
            </w:r>
          </w:p>
        </w:tc>
      </w:tr>
      <w:tr w:rsidR="00D646C4" w:rsidRPr="00B23E26" w:rsidTr="00B23E26"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B23E26" w:rsidRDefault="00D646C4" w:rsidP="00D646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646C4" w:rsidRPr="00B23E26" w:rsidRDefault="00D646C4" w:rsidP="00935A93">
            <w:pPr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>Απουσία εγκεκριμένων φ.π. για την αιτούμενη χρήση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646C4" w:rsidRPr="00B23E26" w:rsidRDefault="00F6117C" w:rsidP="00F6117C">
            <w:pPr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>Κατά του Κίτρινου τετράνυχο</w:t>
            </w:r>
            <w:r w:rsidR="005C0D71" w:rsidRPr="00B23E26">
              <w:rPr>
                <w:rFonts w:ascii="Calibri" w:hAnsi="Calibri" w:cs="Calibri"/>
                <w:sz w:val="21"/>
                <w:szCs w:val="21"/>
              </w:rPr>
              <w:t>υ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 στο βαμβάκι υπάρχουν μόνο δυο όμοια εγκεκριμένα ακαρεοκτόνα  (Borneo &amp; Baroque 11</w:t>
            </w:r>
            <w:r w:rsidR="006775B6" w:rsidRPr="00B23E2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SC με δ.ο. etoxazole) </w:t>
            </w:r>
          </w:p>
        </w:tc>
      </w:tr>
      <w:tr w:rsidR="00D646C4" w:rsidRPr="00B23E26" w:rsidTr="00B23E26"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B23E26" w:rsidRDefault="00D646C4" w:rsidP="004748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646C4" w:rsidRPr="00B23E26" w:rsidRDefault="006129D1" w:rsidP="00500D6E">
            <w:pPr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>Π</w:t>
            </w:r>
            <w:r w:rsidR="000D3E6A" w:rsidRPr="00B23E26">
              <w:rPr>
                <w:rFonts w:ascii="Calibri" w:hAnsi="Calibri" w:cs="Calibri"/>
                <w:sz w:val="21"/>
                <w:szCs w:val="21"/>
              </w:rPr>
              <w:t xml:space="preserve">ιθανότητα ανάπτυξης </w:t>
            </w:r>
            <w:r w:rsidR="00500D6E" w:rsidRPr="00B23E26">
              <w:rPr>
                <w:rFonts w:ascii="Calibri" w:hAnsi="Calibri" w:cs="Calibri"/>
                <w:sz w:val="21"/>
                <w:szCs w:val="21"/>
              </w:rPr>
              <w:t xml:space="preserve">ανθεκτικότητας βάσει του περιορισμένου αριθμού </w:t>
            </w:r>
            <w:r w:rsidR="000D3E6A" w:rsidRPr="00B23E26">
              <w:rPr>
                <w:rFonts w:ascii="Calibri" w:hAnsi="Calibri" w:cs="Calibri"/>
                <w:sz w:val="21"/>
                <w:szCs w:val="21"/>
              </w:rPr>
              <w:t xml:space="preserve"> εγκεκριμένων φπ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646C4" w:rsidRPr="00B23E26" w:rsidRDefault="00F6117C" w:rsidP="007D1E4D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>Χρειάζονται 4 διαφορετικοί τρόποι δράσης για την αποφυγή ανάπτυξης ανθεκτικότητας</w:t>
            </w:r>
            <w:r w:rsidR="006775B6" w:rsidRPr="00B23E26">
              <w:rPr>
                <w:rFonts w:ascii="Calibri" w:hAnsi="Calibri" w:cs="Calibri"/>
                <w:sz w:val="21"/>
                <w:szCs w:val="21"/>
              </w:rPr>
              <w:t xml:space="preserve"> σύμφωνα με διεθνείς βάσεις δεδομένων όπως ΙRAC  και υπάρχει μόνο </w:t>
            </w:r>
            <w:r w:rsidR="00487CEE" w:rsidRPr="00B23E26">
              <w:rPr>
                <w:rFonts w:ascii="Calibri" w:hAnsi="Calibri" w:cs="Calibri"/>
                <w:sz w:val="21"/>
                <w:szCs w:val="21"/>
              </w:rPr>
              <w:t>ένας.</w:t>
            </w:r>
          </w:p>
          <w:p w:rsidR="00487CEE" w:rsidRPr="00B23E26" w:rsidRDefault="00487CEE" w:rsidP="00013D9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 xml:space="preserve">Για </w:t>
            </w:r>
            <w:r w:rsidR="007D1E4D" w:rsidRPr="00B23E26">
              <w:rPr>
                <w:rFonts w:ascii="Calibri" w:hAnsi="Calibri" w:cs="Calibri"/>
                <w:sz w:val="21"/>
                <w:szCs w:val="21"/>
              </w:rPr>
              <w:t>την αποφυγή ανάπτυξης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 ανθεκτικότητας </w:t>
            </w:r>
            <w:r w:rsidR="007D1E4D" w:rsidRPr="00B23E26">
              <w:rPr>
                <w:rFonts w:ascii="Calibri" w:hAnsi="Calibri" w:cs="Calibri"/>
                <w:sz w:val="21"/>
                <w:szCs w:val="21"/>
              </w:rPr>
              <w:t xml:space="preserve">επομένως, </w:t>
            </w:r>
            <w:r w:rsidRPr="00B23E26">
              <w:rPr>
                <w:rFonts w:ascii="Calibri" w:hAnsi="Calibri" w:cs="Calibri"/>
                <w:sz w:val="21"/>
                <w:szCs w:val="21"/>
              </w:rPr>
              <w:t>οι καλλιεργητές θα πρέπει</w:t>
            </w:r>
            <w:r w:rsidR="00013D99" w:rsidRPr="00013D9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να χρησιμοποιούν </w:t>
            </w:r>
            <w:r w:rsidR="007D1E4D" w:rsidRPr="00B23E26">
              <w:rPr>
                <w:rFonts w:ascii="Calibri" w:hAnsi="Calibri" w:cs="Calibri"/>
                <w:sz w:val="21"/>
                <w:szCs w:val="21"/>
              </w:rPr>
              <w:t>το ίδιο ακαρεοκτόνο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 μόνο μία φορά ανά καλλιεργητική περίοδο και εάν μια δεύτερη εφαρμογή είναι αναγκαία να χρησιμοποιούν ακαρεοκτόνο </w:t>
            </w:r>
            <w:r w:rsidR="007D1E4D" w:rsidRPr="00B23E26">
              <w:rPr>
                <w:rFonts w:ascii="Calibri" w:hAnsi="Calibri" w:cs="Calibri"/>
                <w:sz w:val="21"/>
                <w:szCs w:val="21"/>
              </w:rPr>
              <w:t>προϊόν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 με διαφορετικό τρόπο δράσης</w:t>
            </w:r>
            <w:r w:rsidR="007D1E4D" w:rsidRPr="00B23E2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129D1" w:rsidRPr="00B23E26" w:rsidTr="00B23E26"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29D1" w:rsidRPr="00B23E26" w:rsidRDefault="006129D1" w:rsidP="006129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6129D1" w:rsidRPr="00B23E26" w:rsidRDefault="006129D1" w:rsidP="00327F1F">
            <w:pPr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 xml:space="preserve">Ανάγκη αντιμετώπισης </w:t>
            </w:r>
            <w:r w:rsidR="00327F1F" w:rsidRPr="00B23E26">
              <w:rPr>
                <w:rFonts w:ascii="Calibri" w:hAnsi="Calibri" w:cs="Calibri"/>
                <w:sz w:val="21"/>
                <w:szCs w:val="21"/>
              </w:rPr>
              <w:t xml:space="preserve">των ακάρεων 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σε </w:t>
            </w:r>
            <w:r w:rsidR="00327F1F" w:rsidRPr="00B23E26">
              <w:rPr>
                <w:rFonts w:ascii="Calibri" w:hAnsi="Calibri" w:cs="Calibri"/>
                <w:sz w:val="21"/>
                <w:szCs w:val="21"/>
              </w:rPr>
              <w:t>πρώιμη</w:t>
            </w:r>
            <w:r w:rsidRPr="00B23E26">
              <w:rPr>
                <w:rFonts w:ascii="Calibri" w:hAnsi="Calibri" w:cs="Calibri"/>
                <w:sz w:val="21"/>
                <w:szCs w:val="21"/>
              </w:rPr>
              <w:t xml:space="preserve"> προσβολή 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6129D1" w:rsidRPr="00B23E26" w:rsidRDefault="006129D1" w:rsidP="006129D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>Τα ακάρεα σχηματίζουν αποικίες στην κάτω επιφάνεια των φύλλων.</w:t>
            </w:r>
          </w:p>
          <w:p w:rsidR="006129D1" w:rsidRPr="00B23E26" w:rsidRDefault="006129D1" w:rsidP="006129D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23E26">
              <w:rPr>
                <w:rFonts w:ascii="Calibri" w:hAnsi="Calibri" w:cs="Calibri"/>
                <w:sz w:val="21"/>
                <w:szCs w:val="21"/>
              </w:rPr>
              <w:t>Είναι σημαντική η καταπολέμηση της πρώιμης προσβολής επειδή είναι η πιο επιζήμια για το βαμβάκι και η πιο ευαίσθητη στα ακαρεοκτόνα. Στις πρώτες προσβολές, όταν τα φυτά είναι ακόμα μικρά, η πλήρης κάλυψη είναι δύσκολη να επιτευχθεί. Σε αυτή την περίπτωση είναι προτιμότερη η χρήση ενός ακαρεοκτόνου με δ.ο. abamectin, που έχει διελασματική κίνηση δηλαδή την ικανότητα να κινηθεί μέσω του ιστού των φύλλων από την άνω επιφάνεια στην κάτω επιφάνεια.</w:t>
            </w:r>
          </w:p>
        </w:tc>
      </w:tr>
    </w:tbl>
    <w:p w:rsidR="009134B1" w:rsidRPr="00B218A6" w:rsidRDefault="009134B1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978"/>
        <w:gridCol w:w="567"/>
        <w:gridCol w:w="7037"/>
      </w:tblGrid>
      <w:tr w:rsidR="00100296" w:rsidRPr="00B218A6" w:rsidTr="00E952AB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B218A6" w:rsidRDefault="00100296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B218A6" w:rsidRDefault="00100296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</w:t>
            </w:r>
            <w:r w:rsidR="00C12D97" w:rsidRPr="00B218A6">
              <w:rPr>
                <w:rFonts w:ascii="Calibri" w:hAnsi="Calibri" w:cs="Calibri"/>
                <w:sz w:val="21"/>
                <w:szCs w:val="21"/>
              </w:rPr>
              <w:t>ριορισμός της αιτούμενης χρήσης</w:t>
            </w:r>
            <w:r w:rsidRPr="00B218A6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B218A6" w:rsidRPr="00B218A6" w:rsidTr="00E952AB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18A6" w:rsidRPr="00B218A6" w:rsidRDefault="00B218A6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B218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Στις Περιφερειακές Ενότητες: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B218A6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α/α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B218A6" w:rsidRPr="00414FB9" w:rsidRDefault="00B218A6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14FB9">
              <w:rPr>
                <w:rFonts w:ascii="Calibri" w:hAnsi="Calibri" w:cs="Calibri"/>
                <w:b/>
                <w:sz w:val="21"/>
                <w:szCs w:val="21"/>
              </w:rPr>
              <w:t>Π.Ε.</w:t>
            </w:r>
          </w:p>
        </w:tc>
      </w:tr>
      <w:tr w:rsidR="00B218A6" w:rsidRPr="00B218A6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18A6" w:rsidRPr="00B218A6" w:rsidRDefault="00B218A6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B218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E952AB" w:rsidP="0047481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E952AB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ΞΑΝΘΗΣ</w:t>
            </w:r>
          </w:p>
        </w:tc>
      </w:tr>
      <w:tr w:rsidR="00B218A6" w:rsidRPr="00B218A6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18A6" w:rsidRPr="00B218A6" w:rsidRDefault="00B218A6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B218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E952AB" w:rsidP="0047481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E952AB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ΠΕΛΛΑΣ</w:t>
            </w:r>
          </w:p>
        </w:tc>
      </w:tr>
      <w:tr w:rsidR="00B218A6" w:rsidRPr="00B218A6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18A6" w:rsidRPr="00B218A6" w:rsidRDefault="00B218A6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B218A6" w:rsidP="0065642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Στα νομικά ή φυσικά πρόσωπα: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B218A6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α/α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B218A6" w:rsidRPr="00B218A6" w:rsidRDefault="00B218A6" w:rsidP="00C13B7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Επωνυμία ή Ονομ/πώνυμο κατά περίπτωση</w:t>
            </w:r>
          </w:p>
        </w:tc>
      </w:tr>
      <w:tr w:rsidR="00D142C1" w:rsidRPr="00707B5B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D142C1" w:rsidRPr="00707B5B" w:rsidRDefault="00707B5B" w:rsidP="003D39B0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Φυσικά πρόσωπα στις Περιφερειακές Ενότητες Ροδόπης, Πέλλας, Ημαθίας, Σερρών, Έβρου και Δράμας.</w:t>
            </w:r>
          </w:p>
        </w:tc>
      </w:tr>
      <w:tr w:rsidR="00D142C1" w:rsidRPr="00B218A6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2C1" w:rsidRPr="00707B5B" w:rsidRDefault="00D142C1" w:rsidP="00E952AB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2C1" w:rsidRPr="00707B5B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3D39B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142C1" w:rsidRPr="00B218A6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3D39B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142C1" w:rsidRPr="00B218A6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E952AB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D142C1" w:rsidRPr="00B218A6" w:rsidRDefault="00D142C1" w:rsidP="003D39B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1945D6" w:rsidRDefault="001945D6" w:rsidP="00295CB2">
      <w:pPr>
        <w:pStyle w:val="a4"/>
        <w:rPr>
          <w:rFonts w:ascii="Calibri" w:hAnsi="Calibri" w:cs="Calibri"/>
          <w:sz w:val="12"/>
          <w:szCs w:val="22"/>
          <w:u w:val="single"/>
        </w:rPr>
      </w:pPr>
    </w:p>
    <w:p w:rsidR="00D142C1" w:rsidRDefault="00D142C1" w:rsidP="00D142C1"/>
    <w:p w:rsidR="00D142C1" w:rsidRPr="00D142C1" w:rsidRDefault="00D142C1" w:rsidP="00D142C1"/>
    <w:p w:rsidR="009A7493" w:rsidRDefault="009A7493" w:rsidP="009A7493">
      <w:pPr>
        <w:rPr>
          <w:rFonts w:ascii="Calibri" w:hAnsi="Calibri" w:cs="Calibri"/>
          <w:sz w:val="22"/>
          <w:szCs w:val="22"/>
          <w:lang w:val="en-US"/>
        </w:rPr>
      </w:pPr>
    </w:p>
    <w:sectPr w:rsidR="009A7493" w:rsidSect="00D546D9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88" w:rsidRDefault="00DC1A88">
      <w:r>
        <w:separator/>
      </w:r>
    </w:p>
  </w:endnote>
  <w:endnote w:type="continuationSeparator" w:id="0">
    <w:p w:rsidR="00DC1A88" w:rsidRDefault="00DC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88" w:rsidRDefault="00DC1A88">
      <w:r>
        <w:separator/>
      </w:r>
    </w:p>
  </w:footnote>
  <w:footnote w:type="continuationSeparator" w:id="0">
    <w:p w:rsidR="00DC1A88" w:rsidRDefault="00DC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B0" w:rsidRPr="00973C5B" w:rsidRDefault="003D39B0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 xml:space="preserve">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B0" w:rsidRPr="00F5694E" w:rsidRDefault="003D39B0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35"/>
    <w:rsid w:val="00010111"/>
    <w:rsid w:val="00013D99"/>
    <w:rsid w:val="00021278"/>
    <w:rsid w:val="000474F9"/>
    <w:rsid w:val="000503B7"/>
    <w:rsid w:val="00051FC7"/>
    <w:rsid w:val="00055EC3"/>
    <w:rsid w:val="000946B3"/>
    <w:rsid w:val="00094DAF"/>
    <w:rsid w:val="000961A6"/>
    <w:rsid w:val="000B27C7"/>
    <w:rsid w:val="000B49C6"/>
    <w:rsid w:val="000B6980"/>
    <w:rsid w:val="000B7A0A"/>
    <w:rsid w:val="000D3E6A"/>
    <w:rsid w:val="000F35EA"/>
    <w:rsid w:val="00100296"/>
    <w:rsid w:val="00120156"/>
    <w:rsid w:val="001323EC"/>
    <w:rsid w:val="00150A9F"/>
    <w:rsid w:val="0018075E"/>
    <w:rsid w:val="001945D6"/>
    <w:rsid w:val="001A396C"/>
    <w:rsid w:val="001B6685"/>
    <w:rsid w:val="001D2F3E"/>
    <w:rsid w:val="001D3CA0"/>
    <w:rsid w:val="001F0E82"/>
    <w:rsid w:val="001F1B01"/>
    <w:rsid w:val="001F4E91"/>
    <w:rsid w:val="00245CD8"/>
    <w:rsid w:val="00276B8B"/>
    <w:rsid w:val="00277AF8"/>
    <w:rsid w:val="00283719"/>
    <w:rsid w:val="00295CB2"/>
    <w:rsid w:val="002C6B60"/>
    <w:rsid w:val="002D0D10"/>
    <w:rsid w:val="002D40B9"/>
    <w:rsid w:val="002E1AFA"/>
    <w:rsid w:val="00305164"/>
    <w:rsid w:val="003248D7"/>
    <w:rsid w:val="00327F1F"/>
    <w:rsid w:val="00332BC6"/>
    <w:rsid w:val="003433BD"/>
    <w:rsid w:val="00347979"/>
    <w:rsid w:val="00370FBA"/>
    <w:rsid w:val="0037203A"/>
    <w:rsid w:val="003C1A4C"/>
    <w:rsid w:val="003C6405"/>
    <w:rsid w:val="003D20B2"/>
    <w:rsid w:val="003D39B0"/>
    <w:rsid w:val="003E58C5"/>
    <w:rsid w:val="003F2F7F"/>
    <w:rsid w:val="003F6AF2"/>
    <w:rsid w:val="003F7044"/>
    <w:rsid w:val="00402E30"/>
    <w:rsid w:val="0040540A"/>
    <w:rsid w:val="00407768"/>
    <w:rsid w:val="00414FB9"/>
    <w:rsid w:val="00435CDF"/>
    <w:rsid w:val="004660DB"/>
    <w:rsid w:val="0047481A"/>
    <w:rsid w:val="004805BC"/>
    <w:rsid w:val="004805E4"/>
    <w:rsid w:val="00487208"/>
    <w:rsid w:val="00487CEE"/>
    <w:rsid w:val="004A7E49"/>
    <w:rsid w:val="004B05CC"/>
    <w:rsid w:val="004C51F9"/>
    <w:rsid w:val="004C79F2"/>
    <w:rsid w:val="004D571E"/>
    <w:rsid w:val="00500D6E"/>
    <w:rsid w:val="005274B7"/>
    <w:rsid w:val="0053026A"/>
    <w:rsid w:val="0053648E"/>
    <w:rsid w:val="005632A9"/>
    <w:rsid w:val="005823F5"/>
    <w:rsid w:val="00592557"/>
    <w:rsid w:val="00592FC9"/>
    <w:rsid w:val="00596139"/>
    <w:rsid w:val="005A332A"/>
    <w:rsid w:val="005B0231"/>
    <w:rsid w:val="005C0D71"/>
    <w:rsid w:val="005C2C47"/>
    <w:rsid w:val="005D5372"/>
    <w:rsid w:val="00610865"/>
    <w:rsid w:val="006129D1"/>
    <w:rsid w:val="00614278"/>
    <w:rsid w:val="006359E4"/>
    <w:rsid w:val="00656421"/>
    <w:rsid w:val="006775B6"/>
    <w:rsid w:val="006848B7"/>
    <w:rsid w:val="00690125"/>
    <w:rsid w:val="006A48AB"/>
    <w:rsid w:val="006B4A3E"/>
    <w:rsid w:val="006B69FC"/>
    <w:rsid w:val="006C1AF7"/>
    <w:rsid w:val="006D577A"/>
    <w:rsid w:val="006E37D7"/>
    <w:rsid w:val="006F1614"/>
    <w:rsid w:val="006F21F3"/>
    <w:rsid w:val="00701B5F"/>
    <w:rsid w:val="00707B5B"/>
    <w:rsid w:val="0071377E"/>
    <w:rsid w:val="007214E1"/>
    <w:rsid w:val="00735102"/>
    <w:rsid w:val="007824D6"/>
    <w:rsid w:val="007B5E5D"/>
    <w:rsid w:val="007C294B"/>
    <w:rsid w:val="007D1E4D"/>
    <w:rsid w:val="007E37E7"/>
    <w:rsid w:val="007F6DCB"/>
    <w:rsid w:val="007F775A"/>
    <w:rsid w:val="00802E8B"/>
    <w:rsid w:val="008166D8"/>
    <w:rsid w:val="008508FB"/>
    <w:rsid w:val="008871FB"/>
    <w:rsid w:val="008957BA"/>
    <w:rsid w:val="008A0922"/>
    <w:rsid w:val="008A393B"/>
    <w:rsid w:val="008B675D"/>
    <w:rsid w:val="008B7C29"/>
    <w:rsid w:val="008C60F6"/>
    <w:rsid w:val="008E4158"/>
    <w:rsid w:val="008F02DA"/>
    <w:rsid w:val="008F0C00"/>
    <w:rsid w:val="008F6455"/>
    <w:rsid w:val="00902F6F"/>
    <w:rsid w:val="0090368F"/>
    <w:rsid w:val="00904C71"/>
    <w:rsid w:val="00910E3A"/>
    <w:rsid w:val="009134B1"/>
    <w:rsid w:val="009152BD"/>
    <w:rsid w:val="00935A93"/>
    <w:rsid w:val="009604C0"/>
    <w:rsid w:val="00971E58"/>
    <w:rsid w:val="009777DF"/>
    <w:rsid w:val="00981FFA"/>
    <w:rsid w:val="00991B10"/>
    <w:rsid w:val="009A5B71"/>
    <w:rsid w:val="009A7493"/>
    <w:rsid w:val="009D0B82"/>
    <w:rsid w:val="009D795C"/>
    <w:rsid w:val="009F6EB4"/>
    <w:rsid w:val="00A16E33"/>
    <w:rsid w:val="00A35EC7"/>
    <w:rsid w:val="00A83540"/>
    <w:rsid w:val="00A83B89"/>
    <w:rsid w:val="00AA6148"/>
    <w:rsid w:val="00AB5184"/>
    <w:rsid w:val="00AB7DF6"/>
    <w:rsid w:val="00AC511E"/>
    <w:rsid w:val="00AC7E98"/>
    <w:rsid w:val="00AD4FBC"/>
    <w:rsid w:val="00AE0972"/>
    <w:rsid w:val="00B00CCC"/>
    <w:rsid w:val="00B152A0"/>
    <w:rsid w:val="00B212C6"/>
    <w:rsid w:val="00B218A6"/>
    <w:rsid w:val="00B22367"/>
    <w:rsid w:val="00B23E26"/>
    <w:rsid w:val="00B31BAC"/>
    <w:rsid w:val="00B85724"/>
    <w:rsid w:val="00B93030"/>
    <w:rsid w:val="00BA5B3F"/>
    <w:rsid w:val="00BA7353"/>
    <w:rsid w:val="00BB3F47"/>
    <w:rsid w:val="00BB57D4"/>
    <w:rsid w:val="00BF08D1"/>
    <w:rsid w:val="00BF4A8B"/>
    <w:rsid w:val="00BF6B38"/>
    <w:rsid w:val="00C12D97"/>
    <w:rsid w:val="00C13B78"/>
    <w:rsid w:val="00C20848"/>
    <w:rsid w:val="00C9158B"/>
    <w:rsid w:val="00CC1EA6"/>
    <w:rsid w:val="00CD680A"/>
    <w:rsid w:val="00CE54C2"/>
    <w:rsid w:val="00CF23B6"/>
    <w:rsid w:val="00D142C1"/>
    <w:rsid w:val="00D14A76"/>
    <w:rsid w:val="00D259FE"/>
    <w:rsid w:val="00D27781"/>
    <w:rsid w:val="00D37DD4"/>
    <w:rsid w:val="00D4183B"/>
    <w:rsid w:val="00D546D9"/>
    <w:rsid w:val="00D646C4"/>
    <w:rsid w:val="00DC1A88"/>
    <w:rsid w:val="00DD633B"/>
    <w:rsid w:val="00DD7EEC"/>
    <w:rsid w:val="00E13BFB"/>
    <w:rsid w:val="00E15BD9"/>
    <w:rsid w:val="00E34B81"/>
    <w:rsid w:val="00E34E73"/>
    <w:rsid w:val="00E45ECC"/>
    <w:rsid w:val="00E52A95"/>
    <w:rsid w:val="00E61B38"/>
    <w:rsid w:val="00E81776"/>
    <w:rsid w:val="00E95135"/>
    <w:rsid w:val="00E952AB"/>
    <w:rsid w:val="00EA26F4"/>
    <w:rsid w:val="00EB5C39"/>
    <w:rsid w:val="00EC0505"/>
    <w:rsid w:val="00ED36FC"/>
    <w:rsid w:val="00ED3D8A"/>
    <w:rsid w:val="00EE15B2"/>
    <w:rsid w:val="00F00F02"/>
    <w:rsid w:val="00F024E1"/>
    <w:rsid w:val="00F034A6"/>
    <w:rsid w:val="00F20778"/>
    <w:rsid w:val="00F6117C"/>
    <w:rsid w:val="00F771D1"/>
    <w:rsid w:val="00F855E0"/>
    <w:rsid w:val="00F867F1"/>
    <w:rsid w:val="00F95A8F"/>
    <w:rsid w:val="00FB7078"/>
    <w:rsid w:val="00FC1DB8"/>
    <w:rsid w:val="00FD7CAE"/>
    <w:rsid w:val="00FE0B94"/>
    <w:rsid w:val="00FE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6A3271-D31E-4203-8198-E4687E2D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CE54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Links>
    <vt:vector size="6" baseType="variant">
      <vt:variant>
        <vt:i4>4259948</vt:i4>
      </vt:variant>
      <vt:variant>
        <vt:i4>3</vt:i4>
      </vt:variant>
      <vt:variant>
        <vt:i4>0</vt:i4>
      </vt:variant>
      <vt:variant>
        <vt:i4>5</vt:i4>
      </vt:variant>
      <vt:variant>
        <vt:lpwstr>mailto:hybrids@otenet.gr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ALEKOS ALEXOPOULOS</cp:lastModifiedBy>
  <cp:revision>4</cp:revision>
  <cp:lastPrinted>2019-03-26T14:06:00Z</cp:lastPrinted>
  <dcterms:created xsi:type="dcterms:W3CDTF">2019-03-26T14:22:00Z</dcterms:created>
  <dcterms:modified xsi:type="dcterms:W3CDTF">2019-04-01T06:08:00Z</dcterms:modified>
</cp:coreProperties>
</file>