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312" w:rsidRPr="0096673D" w:rsidRDefault="00FA23B3" w:rsidP="008D784B">
      <w:pPr>
        <w:spacing w:after="0" w:line="240" w:lineRule="auto"/>
        <w:jc w:val="center"/>
        <w:rPr>
          <w:rFonts w:asciiTheme="minorHAnsi" w:hAnsiTheme="minorHAnsi" w:cstheme="minorHAnsi"/>
          <w:b/>
          <w:bCs/>
        </w:rPr>
      </w:pPr>
      <w:r w:rsidRPr="0096673D">
        <w:rPr>
          <w:rFonts w:asciiTheme="minorHAnsi" w:hAnsiTheme="minorHAnsi" w:cstheme="minorHAnsi"/>
          <w:b/>
          <w:bCs/>
          <w:u w:val="single"/>
        </w:rPr>
        <w:t xml:space="preserve">ΠΑΡΑΡΤΗΜΑ </w:t>
      </w:r>
      <w:r w:rsidR="00880BB6" w:rsidRPr="0096673D">
        <w:rPr>
          <w:rFonts w:asciiTheme="minorHAnsi" w:hAnsiTheme="minorHAnsi" w:cstheme="minorHAnsi"/>
          <w:b/>
          <w:bCs/>
          <w:u w:val="single"/>
        </w:rPr>
        <w:t>3</w:t>
      </w:r>
      <w:r w:rsidR="00427312" w:rsidRPr="0096673D">
        <w:rPr>
          <w:rFonts w:asciiTheme="minorHAnsi" w:hAnsiTheme="minorHAnsi" w:cstheme="minorHAnsi"/>
          <w:b/>
          <w:bCs/>
        </w:rPr>
        <w:t xml:space="preserve"> </w:t>
      </w:r>
    </w:p>
    <w:p w:rsidR="00992830" w:rsidRPr="0096673D" w:rsidRDefault="008F6E5B" w:rsidP="00427312">
      <w:pPr>
        <w:pStyle w:val="2"/>
        <w:spacing w:before="0" w:after="120"/>
        <w:jc w:val="center"/>
        <w:rPr>
          <w:rFonts w:asciiTheme="minorHAnsi" w:hAnsiTheme="minorHAnsi" w:cstheme="minorHAnsi"/>
          <w:b w:val="0"/>
          <w:color w:val="auto"/>
          <w:sz w:val="22"/>
          <w:szCs w:val="22"/>
        </w:rPr>
      </w:pPr>
      <w:r w:rsidRPr="0096673D" w:rsidDel="008F6E5B">
        <w:rPr>
          <w:rFonts w:asciiTheme="minorHAnsi" w:hAnsiTheme="minorHAnsi" w:cstheme="minorHAnsi"/>
          <w:sz w:val="22"/>
          <w:szCs w:val="22"/>
        </w:rPr>
        <w:t xml:space="preserve"> </w:t>
      </w:r>
      <w:r w:rsidR="00992830" w:rsidRPr="0096673D">
        <w:rPr>
          <w:rFonts w:asciiTheme="minorHAnsi" w:hAnsiTheme="minorHAnsi" w:cstheme="minorHAnsi"/>
          <w:b w:val="0"/>
          <w:color w:val="auto"/>
          <w:sz w:val="22"/>
          <w:szCs w:val="22"/>
        </w:rPr>
        <w:t>(Το Παράρτημα  αποτελεί αναπόσπαστο τμήμα της Υ.Α.</w:t>
      </w:r>
      <w:r w:rsidR="0095330C" w:rsidRPr="0096673D">
        <w:rPr>
          <w:rFonts w:asciiTheme="minorHAnsi" w:hAnsiTheme="minorHAnsi" w:cstheme="minorHAnsi"/>
          <w:b w:val="0"/>
          <w:color w:val="auto"/>
          <w:sz w:val="22"/>
          <w:szCs w:val="22"/>
        </w:rPr>
        <w:t xml:space="preserve">  …………..</w:t>
      </w:r>
      <w:r w:rsidR="00992830" w:rsidRPr="0096673D">
        <w:rPr>
          <w:rFonts w:asciiTheme="minorHAnsi" w:hAnsiTheme="minorHAnsi" w:cstheme="minorHAnsi"/>
          <w:b w:val="0"/>
          <w:color w:val="auto"/>
          <w:sz w:val="22"/>
          <w:szCs w:val="22"/>
        </w:rPr>
        <w:t>)</w:t>
      </w:r>
    </w:p>
    <w:p w:rsidR="008F6E5B" w:rsidRPr="0096673D" w:rsidRDefault="008F6E5B" w:rsidP="004E3D60">
      <w:pPr>
        <w:jc w:val="center"/>
        <w:rPr>
          <w:rFonts w:asciiTheme="minorHAnsi" w:hAnsiTheme="minorHAnsi" w:cstheme="minorHAnsi"/>
        </w:rPr>
      </w:pPr>
      <w:r w:rsidRPr="0096673D">
        <w:rPr>
          <w:rFonts w:asciiTheme="minorHAnsi" w:hAnsiTheme="minorHAnsi" w:cstheme="minorHAnsi"/>
          <w:b/>
        </w:rPr>
        <w:t>ΕΤΗ ΠΑΛΑΙΟΤΗΤΑΣ – ΠΡΟΣΔΙΟΡΙΣΜΟΣ ΕΠΕΝΔΥΣΕΩΝ ΑΠΛΗΣ ΑΝΤΙΚΑΤΑΣΤΑΣΗΣ</w:t>
      </w:r>
    </w:p>
    <w:p w:rsidR="00F50389" w:rsidRPr="00115F96" w:rsidRDefault="00F50389" w:rsidP="00F50389">
      <w:pPr>
        <w:spacing w:after="0"/>
        <w:jc w:val="both"/>
        <w:rPr>
          <w:rFonts w:asciiTheme="minorHAnsi" w:hAnsiTheme="minorHAnsi" w:cstheme="minorHAnsi"/>
        </w:rPr>
      </w:pPr>
      <w:r w:rsidRPr="0096673D">
        <w:rPr>
          <w:rFonts w:asciiTheme="minorHAnsi" w:hAnsiTheme="minorHAnsi" w:cstheme="minorHAnsi"/>
        </w:rPr>
        <w:t xml:space="preserve">Εφαρμόζονται περιορισμοί ως προς την αντικατάσταση εξοπλισμού που υπάρχει στην εκμετάλλευση και δεν έχει αποσβεστεί. Ο πίνακας του παρόντος παραρτήματος παρέχει πληροφορίες σχετικά με τη διάρκεια της απόσβεσης του εξοπλισμού της εκμετάλλευσης (δεύτερη στήλη), του συντελεστή ετήσιας σταθερής απόσβεσης που εφαρμόζεται για τον υπολογισμό της αναπόσβεστης αξίας (τρίτη στήλη), και για το αν και πόσα έτη πριν την ολοκλήρωση των ετών απόσβεσης μπορεί να αντικατασταθεί μία επένδυση από μία νέα ώστε να απομένει έως και το 20% των ετών απόσβεσης (τέταρτη στήλη). </w:t>
      </w:r>
    </w:p>
    <w:p w:rsidR="0096673D" w:rsidRPr="00115F96" w:rsidRDefault="0096673D" w:rsidP="00F50389">
      <w:pPr>
        <w:spacing w:after="0"/>
        <w:jc w:val="both"/>
        <w:rPr>
          <w:rFonts w:asciiTheme="minorHAnsi" w:hAnsiTheme="minorHAnsi" w:cstheme="minorHAnsi"/>
        </w:rPr>
      </w:pPr>
    </w:p>
    <w:tbl>
      <w:tblPr>
        <w:tblW w:w="100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gridCol w:w="1413"/>
        <w:gridCol w:w="1131"/>
        <w:gridCol w:w="1979"/>
      </w:tblGrid>
      <w:tr w:rsidR="0051755C" w:rsidRPr="0096673D" w:rsidTr="00FD3B6F">
        <w:trPr>
          <w:trHeight w:val="1183"/>
        </w:trPr>
        <w:tc>
          <w:tcPr>
            <w:tcW w:w="5508" w:type="dxa"/>
            <w:shd w:val="clear" w:color="auto" w:fill="auto"/>
            <w:noWrap/>
            <w:hideMark/>
          </w:tcPr>
          <w:p w:rsidR="0051755C" w:rsidRPr="0096673D" w:rsidRDefault="0051755C" w:rsidP="00D0722A">
            <w:pPr>
              <w:spacing w:after="0" w:line="240" w:lineRule="auto"/>
              <w:rPr>
                <w:rFonts w:asciiTheme="minorHAnsi" w:hAnsiTheme="minorHAnsi" w:cstheme="minorHAnsi"/>
                <w:b/>
                <w:bCs/>
              </w:rPr>
            </w:pPr>
          </w:p>
          <w:p w:rsidR="0051755C" w:rsidRPr="0096673D" w:rsidRDefault="0051755C" w:rsidP="00D0722A">
            <w:pPr>
              <w:spacing w:after="0" w:line="240" w:lineRule="auto"/>
              <w:rPr>
                <w:rFonts w:asciiTheme="minorHAnsi" w:hAnsiTheme="minorHAnsi" w:cstheme="minorHAnsi"/>
                <w:b/>
                <w:bCs/>
              </w:rPr>
            </w:pPr>
            <w:r w:rsidRPr="0096673D">
              <w:rPr>
                <w:rFonts w:asciiTheme="minorHAnsi" w:hAnsiTheme="minorHAnsi" w:cstheme="minorHAnsi"/>
                <w:b/>
                <w:bCs/>
              </w:rPr>
              <w:t>Κατηγορία του στοιχείου ενεργητικού της εκμετάλλευσης</w:t>
            </w:r>
          </w:p>
        </w:tc>
        <w:tc>
          <w:tcPr>
            <w:tcW w:w="1413" w:type="dxa"/>
            <w:shd w:val="clear" w:color="auto" w:fill="auto"/>
            <w:vAlign w:val="center"/>
            <w:hideMark/>
          </w:tcPr>
          <w:p w:rsidR="0051755C" w:rsidRPr="0096673D" w:rsidRDefault="0051755C" w:rsidP="005619D9">
            <w:pPr>
              <w:spacing w:after="0" w:line="240" w:lineRule="auto"/>
              <w:ind w:left="-108" w:right="-108"/>
              <w:jc w:val="center"/>
              <w:rPr>
                <w:rFonts w:asciiTheme="minorHAnsi" w:hAnsiTheme="minorHAnsi" w:cstheme="minorHAnsi"/>
                <w:b/>
                <w:bCs/>
              </w:rPr>
            </w:pPr>
            <w:r w:rsidRPr="0096673D">
              <w:rPr>
                <w:rFonts w:asciiTheme="minorHAnsi" w:hAnsiTheme="minorHAnsi" w:cstheme="minorHAnsi"/>
                <w:b/>
                <w:bCs/>
              </w:rPr>
              <w:t>Περίοδος απλής αντικατά</w:t>
            </w:r>
            <w:r w:rsidR="00427312" w:rsidRPr="0096673D">
              <w:rPr>
                <w:rFonts w:asciiTheme="minorHAnsi" w:hAnsiTheme="minorHAnsi" w:cstheme="minorHAnsi"/>
                <w:b/>
                <w:bCs/>
              </w:rPr>
              <w:t>-</w:t>
            </w:r>
            <w:r w:rsidRPr="0096673D">
              <w:rPr>
                <w:rFonts w:asciiTheme="minorHAnsi" w:hAnsiTheme="minorHAnsi" w:cstheme="minorHAnsi"/>
                <w:b/>
                <w:bCs/>
              </w:rPr>
              <w:t>στασης</w:t>
            </w:r>
          </w:p>
        </w:tc>
        <w:tc>
          <w:tcPr>
            <w:tcW w:w="1131" w:type="dxa"/>
            <w:shd w:val="clear" w:color="auto" w:fill="auto"/>
            <w:vAlign w:val="center"/>
            <w:hideMark/>
          </w:tcPr>
          <w:p w:rsidR="0051755C" w:rsidRPr="0096673D" w:rsidRDefault="0051755C" w:rsidP="00427312">
            <w:pPr>
              <w:spacing w:after="0" w:line="240" w:lineRule="auto"/>
              <w:ind w:left="-108" w:right="-108"/>
              <w:jc w:val="center"/>
              <w:rPr>
                <w:rFonts w:asciiTheme="minorHAnsi" w:hAnsiTheme="minorHAnsi" w:cstheme="minorHAnsi"/>
                <w:b/>
                <w:bCs/>
              </w:rPr>
            </w:pPr>
            <w:r w:rsidRPr="0096673D">
              <w:rPr>
                <w:rFonts w:asciiTheme="minorHAnsi" w:hAnsiTheme="minorHAnsi" w:cstheme="minorHAnsi"/>
                <w:b/>
                <w:bCs/>
              </w:rPr>
              <w:t>Συν</w:t>
            </w:r>
            <w:r w:rsidR="00427312" w:rsidRPr="0096673D">
              <w:rPr>
                <w:rFonts w:asciiTheme="minorHAnsi" w:hAnsiTheme="minorHAnsi" w:cstheme="minorHAnsi"/>
                <w:b/>
                <w:bCs/>
              </w:rPr>
              <w:t>/</w:t>
            </w:r>
            <w:r w:rsidRPr="0096673D">
              <w:rPr>
                <w:rFonts w:asciiTheme="minorHAnsi" w:hAnsiTheme="minorHAnsi" w:cstheme="minorHAnsi"/>
                <w:b/>
                <w:bCs/>
              </w:rPr>
              <w:t>στής απόσβεσης</w:t>
            </w:r>
            <w:r w:rsidR="006C1342">
              <w:rPr>
                <w:rFonts w:asciiTheme="minorHAnsi" w:hAnsiTheme="minorHAnsi" w:cstheme="minorHAnsi"/>
                <w:b/>
                <w:bCs/>
              </w:rPr>
              <w:t>/έτος</w:t>
            </w:r>
          </w:p>
        </w:tc>
        <w:tc>
          <w:tcPr>
            <w:tcW w:w="1979" w:type="dxa"/>
            <w:shd w:val="clear" w:color="auto" w:fill="auto"/>
            <w:vAlign w:val="center"/>
          </w:tcPr>
          <w:p w:rsidR="005619D9" w:rsidRPr="0096673D" w:rsidRDefault="005A6117" w:rsidP="005619D9">
            <w:pPr>
              <w:spacing w:after="0" w:line="240" w:lineRule="auto"/>
              <w:ind w:left="-108" w:right="-108"/>
              <w:jc w:val="center"/>
              <w:rPr>
                <w:rFonts w:asciiTheme="minorHAnsi" w:hAnsiTheme="minorHAnsi" w:cstheme="minorHAnsi"/>
                <w:b/>
                <w:bCs/>
              </w:rPr>
            </w:pPr>
            <w:r w:rsidRPr="0096673D">
              <w:rPr>
                <w:rFonts w:asciiTheme="minorHAnsi" w:hAnsiTheme="minorHAnsi" w:cstheme="minorHAnsi"/>
                <w:b/>
                <w:bCs/>
              </w:rPr>
              <w:t>Αντικατάσταση</w:t>
            </w:r>
          </w:p>
          <w:p w:rsidR="005619D9" w:rsidRPr="0096673D" w:rsidRDefault="005A6117" w:rsidP="005619D9">
            <w:pPr>
              <w:spacing w:after="0" w:line="240" w:lineRule="auto"/>
              <w:ind w:left="-108" w:right="-108"/>
              <w:jc w:val="center"/>
              <w:rPr>
                <w:rFonts w:asciiTheme="minorHAnsi" w:hAnsiTheme="minorHAnsi" w:cstheme="minorHAnsi"/>
                <w:b/>
                <w:bCs/>
              </w:rPr>
            </w:pPr>
            <w:r w:rsidRPr="0096673D">
              <w:rPr>
                <w:rFonts w:asciiTheme="minorHAnsi" w:hAnsiTheme="minorHAnsi" w:cstheme="minorHAnsi"/>
                <w:b/>
                <w:bCs/>
              </w:rPr>
              <w:t>με μείωση της  δαπάνης</w:t>
            </w:r>
          </w:p>
          <w:p w:rsidR="0051755C" w:rsidRPr="0096673D" w:rsidRDefault="002332C7" w:rsidP="005619D9">
            <w:pPr>
              <w:spacing w:after="0" w:line="240" w:lineRule="auto"/>
              <w:ind w:left="-108" w:right="-108"/>
              <w:jc w:val="center"/>
              <w:rPr>
                <w:rFonts w:asciiTheme="minorHAnsi" w:hAnsiTheme="minorHAnsi" w:cstheme="minorHAnsi"/>
                <w:b/>
                <w:bCs/>
              </w:rPr>
            </w:pPr>
            <w:r w:rsidRPr="0096673D">
              <w:rPr>
                <w:rFonts w:asciiTheme="minorHAnsi" w:hAnsiTheme="minorHAnsi" w:cstheme="minorHAnsi"/>
                <w:b/>
                <w:bCs/>
              </w:rPr>
              <w:t>(</w:t>
            </w:r>
            <w:r w:rsidR="005A6117" w:rsidRPr="0096673D">
              <w:rPr>
                <w:rFonts w:asciiTheme="minorHAnsi" w:hAnsiTheme="minorHAnsi" w:cstheme="minorHAnsi"/>
                <w:b/>
                <w:bCs/>
              </w:rPr>
              <w:t>έτη</w:t>
            </w:r>
            <w:r w:rsidRPr="0096673D">
              <w:rPr>
                <w:rFonts w:asciiTheme="minorHAnsi" w:hAnsiTheme="minorHAnsi" w:cstheme="minorHAnsi"/>
                <w:b/>
                <w:bCs/>
              </w:rPr>
              <w:t xml:space="preserve"> απόσβεσης</w:t>
            </w:r>
            <w:r w:rsidR="005A6117" w:rsidRPr="0096673D">
              <w:rPr>
                <w:rFonts w:asciiTheme="minorHAnsi" w:hAnsiTheme="minorHAnsi" w:cstheme="minorHAnsi"/>
                <w:b/>
                <w:bCs/>
              </w:rPr>
              <w:t xml:space="preserve"> που </w:t>
            </w:r>
            <w:r w:rsidRPr="0096673D">
              <w:rPr>
                <w:rFonts w:asciiTheme="minorHAnsi" w:hAnsiTheme="minorHAnsi" w:cstheme="minorHAnsi"/>
                <w:b/>
                <w:bCs/>
              </w:rPr>
              <w:t>απομένουν ≤ 20%)</w:t>
            </w:r>
          </w:p>
        </w:tc>
      </w:tr>
      <w:tr w:rsidR="0051755C" w:rsidRPr="0096673D" w:rsidTr="00FD3B6F">
        <w:trPr>
          <w:trHeight w:val="664"/>
        </w:trPr>
        <w:tc>
          <w:tcPr>
            <w:tcW w:w="5508" w:type="dxa"/>
            <w:shd w:val="clear" w:color="auto" w:fill="auto"/>
            <w:hideMark/>
          </w:tcPr>
          <w:p w:rsidR="0051755C" w:rsidRPr="0096673D" w:rsidRDefault="0095330C" w:rsidP="00776E1D">
            <w:pPr>
              <w:spacing w:after="0" w:line="240" w:lineRule="auto"/>
              <w:rPr>
                <w:rFonts w:asciiTheme="minorHAnsi" w:hAnsiTheme="minorHAnsi" w:cstheme="minorHAnsi"/>
              </w:rPr>
            </w:pPr>
            <w:r w:rsidRPr="0096673D">
              <w:rPr>
                <w:rFonts w:asciiTheme="minorHAnsi" w:hAnsiTheme="minorHAnsi" w:cstheme="minorHAnsi"/>
              </w:rPr>
              <w:t xml:space="preserve">Γεωργικές </w:t>
            </w:r>
            <w:r w:rsidR="0051755C" w:rsidRPr="0096673D">
              <w:rPr>
                <w:rFonts w:asciiTheme="minorHAnsi" w:hAnsiTheme="minorHAnsi" w:cstheme="minorHAnsi"/>
              </w:rPr>
              <w:t>κατασκευές (</w:t>
            </w:r>
            <w:r w:rsidRPr="0096673D">
              <w:rPr>
                <w:rFonts w:asciiTheme="minorHAnsi" w:hAnsiTheme="minorHAnsi" w:cstheme="minorHAnsi"/>
              </w:rPr>
              <w:t xml:space="preserve">αντλιοστάσιο, </w:t>
            </w:r>
            <w:r w:rsidR="00776E1D" w:rsidRPr="0096673D">
              <w:rPr>
                <w:rFonts w:asciiTheme="minorHAnsi" w:hAnsiTheme="minorHAnsi" w:cstheme="minorHAnsi"/>
              </w:rPr>
              <w:t>δεξαμενές που απαιτούν εκσκαφές ή επιχώσεις φυσικού εδάφους</w:t>
            </w:r>
            <w:r w:rsidRPr="0096673D">
              <w:rPr>
                <w:rFonts w:asciiTheme="minorHAnsi" w:hAnsiTheme="minorHAnsi" w:cstheme="minorHAnsi"/>
              </w:rPr>
              <w:t>, τσιμεντένιες υδατοδεξαμενές</w:t>
            </w:r>
            <w:r w:rsidR="0051755C" w:rsidRPr="0096673D">
              <w:rPr>
                <w:rFonts w:asciiTheme="minorHAnsi" w:hAnsiTheme="minorHAnsi" w:cstheme="minorHAnsi"/>
              </w:rPr>
              <w:t>)</w:t>
            </w:r>
          </w:p>
        </w:tc>
        <w:tc>
          <w:tcPr>
            <w:tcW w:w="1413" w:type="dxa"/>
            <w:shd w:val="clear" w:color="auto" w:fill="auto"/>
            <w:noWrap/>
            <w:vAlign w:val="center"/>
            <w:hideMark/>
          </w:tcPr>
          <w:p w:rsidR="0051755C" w:rsidRPr="0096673D" w:rsidRDefault="0051755C"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30</w:t>
            </w:r>
          </w:p>
        </w:tc>
        <w:tc>
          <w:tcPr>
            <w:tcW w:w="1131" w:type="dxa"/>
            <w:shd w:val="clear" w:color="auto" w:fill="auto"/>
            <w:noWrap/>
            <w:vAlign w:val="center"/>
            <w:hideMark/>
          </w:tcPr>
          <w:p w:rsidR="0051755C" w:rsidRPr="0096673D" w:rsidRDefault="0051755C"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3,33%</w:t>
            </w:r>
          </w:p>
        </w:tc>
        <w:tc>
          <w:tcPr>
            <w:tcW w:w="1979" w:type="dxa"/>
            <w:shd w:val="clear" w:color="auto" w:fill="auto"/>
            <w:vAlign w:val="center"/>
          </w:tcPr>
          <w:p w:rsidR="002332C7" w:rsidRPr="0096673D" w:rsidRDefault="00DB6C19">
            <w:pPr>
              <w:spacing w:after="0" w:line="240" w:lineRule="auto"/>
              <w:jc w:val="center"/>
              <w:rPr>
                <w:rFonts w:asciiTheme="minorHAnsi" w:hAnsiTheme="minorHAnsi" w:cstheme="minorHAnsi"/>
                <w:b/>
                <w:bCs/>
              </w:rPr>
            </w:pPr>
            <w:r w:rsidRPr="0096673D">
              <w:rPr>
                <w:rFonts w:asciiTheme="minorHAnsi" w:hAnsiTheme="minorHAnsi" w:cstheme="minorHAnsi"/>
                <w:b/>
                <w:bCs/>
              </w:rPr>
              <w:t>6</w:t>
            </w:r>
          </w:p>
        </w:tc>
      </w:tr>
      <w:tr w:rsidR="007D4683" w:rsidRPr="0096673D" w:rsidTr="00FD3B6F">
        <w:trPr>
          <w:trHeight w:val="300"/>
        </w:trPr>
        <w:tc>
          <w:tcPr>
            <w:tcW w:w="5508" w:type="dxa"/>
            <w:shd w:val="clear" w:color="auto" w:fill="auto"/>
          </w:tcPr>
          <w:p w:rsidR="007D4683" w:rsidRPr="0096673D" w:rsidDel="007D4683" w:rsidRDefault="007D4683" w:rsidP="005F66C0">
            <w:pPr>
              <w:spacing w:after="0" w:line="240" w:lineRule="auto"/>
              <w:rPr>
                <w:rFonts w:asciiTheme="minorHAnsi" w:hAnsiTheme="minorHAnsi" w:cstheme="minorHAnsi"/>
              </w:rPr>
            </w:pPr>
            <w:r w:rsidRPr="0096673D">
              <w:rPr>
                <w:rFonts w:asciiTheme="minorHAnsi" w:hAnsiTheme="minorHAnsi" w:cstheme="minorHAnsi"/>
              </w:rPr>
              <w:t>Γεωτρήσεις</w:t>
            </w:r>
          </w:p>
        </w:tc>
        <w:tc>
          <w:tcPr>
            <w:tcW w:w="1413" w:type="dxa"/>
            <w:shd w:val="clear" w:color="auto" w:fill="auto"/>
            <w:noWrap/>
            <w:vAlign w:val="center"/>
          </w:tcPr>
          <w:p w:rsidR="007D4683" w:rsidRPr="0096673D" w:rsidRDefault="007D4683"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25</w:t>
            </w:r>
          </w:p>
        </w:tc>
        <w:tc>
          <w:tcPr>
            <w:tcW w:w="1131" w:type="dxa"/>
            <w:shd w:val="clear" w:color="auto" w:fill="auto"/>
            <w:noWrap/>
            <w:vAlign w:val="center"/>
          </w:tcPr>
          <w:p w:rsidR="007D4683" w:rsidRPr="0096673D" w:rsidRDefault="007D4683"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4,00%</w:t>
            </w:r>
          </w:p>
        </w:tc>
        <w:tc>
          <w:tcPr>
            <w:tcW w:w="1979" w:type="dxa"/>
            <w:shd w:val="clear" w:color="auto" w:fill="auto"/>
            <w:vAlign w:val="center"/>
          </w:tcPr>
          <w:p w:rsidR="007D4683" w:rsidRPr="0096673D" w:rsidRDefault="000D3962">
            <w:pPr>
              <w:spacing w:after="0" w:line="240" w:lineRule="auto"/>
              <w:jc w:val="center"/>
              <w:rPr>
                <w:rFonts w:asciiTheme="minorHAnsi" w:hAnsiTheme="minorHAnsi" w:cstheme="minorHAnsi"/>
                <w:b/>
                <w:bCs/>
              </w:rPr>
            </w:pPr>
            <w:r w:rsidRPr="0096673D">
              <w:rPr>
                <w:rFonts w:asciiTheme="minorHAnsi" w:hAnsiTheme="minorHAnsi" w:cstheme="minorHAnsi"/>
                <w:b/>
                <w:bCs/>
              </w:rPr>
              <w:t>5</w:t>
            </w:r>
          </w:p>
        </w:tc>
      </w:tr>
      <w:tr w:rsidR="007D4683" w:rsidRPr="0096673D" w:rsidTr="00FD3B6F">
        <w:trPr>
          <w:trHeight w:val="300"/>
        </w:trPr>
        <w:tc>
          <w:tcPr>
            <w:tcW w:w="5508" w:type="dxa"/>
            <w:shd w:val="clear" w:color="auto" w:fill="auto"/>
          </w:tcPr>
          <w:p w:rsidR="007D4683" w:rsidRPr="0096673D" w:rsidRDefault="00177D4B" w:rsidP="005F66C0">
            <w:pPr>
              <w:spacing w:after="0" w:line="240" w:lineRule="auto"/>
              <w:rPr>
                <w:rFonts w:asciiTheme="minorHAnsi" w:hAnsiTheme="minorHAnsi" w:cstheme="minorHAnsi"/>
              </w:rPr>
            </w:pPr>
            <w:r w:rsidRPr="0096673D">
              <w:rPr>
                <w:rFonts w:asciiTheme="minorHAnsi" w:hAnsiTheme="minorHAnsi" w:cstheme="minorHAnsi"/>
              </w:rPr>
              <w:t>Α</w:t>
            </w:r>
            <w:r w:rsidR="007D4683" w:rsidRPr="0096673D">
              <w:rPr>
                <w:rFonts w:asciiTheme="minorHAnsi" w:hAnsiTheme="minorHAnsi" w:cstheme="minorHAnsi"/>
              </w:rPr>
              <w:t>ντλίες</w:t>
            </w:r>
          </w:p>
        </w:tc>
        <w:tc>
          <w:tcPr>
            <w:tcW w:w="1413" w:type="dxa"/>
            <w:shd w:val="clear" w:color="auto" w:fill="auto"/>
            <w:noWrap/>
            <w:vAlign w:val="center"/>
          </w:tcPr>
          <w:p w:rsidR="007D4683" w:rsidRPr="0096673D" w:rsidRDefault="007D4683"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20</w:t>
            </w:r>
          </w:p>
        </w:tc>
        <w:tc>
          <w:tcPr>
            <w:tcW w:w="1131" w:type="dxa"/>
            <w:shd w:val="clear" w:color="auto" w:fill="auto"/>
            <w:noWrap/>
            <w:vAlign w:val="center"/>
          </w:tcPr>
          <w:p w:rsidR="007D4683" w:rsidRPr="0096673D" w:rsidRDefault="007D4683"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5,00%</w:t>
            </w:r>
          </w:p>
        </w:tc>
        <w:tc>
          <w:tcPr>
            <w:tcW w:w="1979" w:type="dxa"/>
            <w:shd w:val="clear" w:color="auto" w:fill="auto"/>
            <w:vAlign w:val="center"/>
          </w:tcPr>
          <w:p w:rsidR="007D4683" w:rsidRPr="0096673D" w:rsidRDefault="00C112C8">
            <w:pPr>
              <w:spacing w:after="0" w:line="240" w:lineRule="auto"/>
              <w:jc w:val="center"/>
              <w:rPr>
                <w:rFonts w:asciiTheme="minorHAnsi" w:hAnsiTheme="minorHAnsi" w:cstheme="minorHAnsi"/>
                <w:b/>
                <w:bCs/>
              </w:rPr>
            </w:pPr>
            <w:r w:rsidRPr="0096673D">
              <w:rPr>
                <w:rFonts w:asciiTheme="minorHAnsi" w:hAnsiTheme="minorHAnsi" w:cstheme="minorHAnsi"/>
                <w:b/>
                <w:bCs/>
              </w:rPr>
              <w:t>4</w:t>
            </w:r>
          </w:p>
        </w:tc>
      </w:tr>
      <w:tr w:rsidR="0051755C" w:rsidRPr="0096673D" w:rsidTr="00FD3B6F">
        <w:trPr>
          <w:trHeight w:val="300"/>
        </w:trPr>
        <w:tc>
          <w:tcPr>
            <w:tcW w:w="5508" w:type="dxa"/>
            <w:shd w:val="clear" w:color="auto" w:fill="auto"/>
            <w:hideMark/>
          </w:tcPr>
          <w:p w:rsidR="0051755C" w:rsidRPr="0096673D" w:rsidRDefault="0051755C" w:rsidP="00197B44">
            <w:pPr>
              <w:spacing w:after="0" w:line="240" w:lineRule="auto"/>
              <w:rPr>
                <w:rFonts w:asciiTheme="minorHAnsi" w:hAnsiTheme="minorHAnsi" w:cstheme="minorHAnsi"/>
              </w:rPr>
            </w:pPr>
            <w:r w:rsidRPr="0096673D">
              <w:rPr>
                <w:rFonts w:asciiTheme="minorHAnsi" w:hAnsiTheme="minorHAnsi" w:cstheme="minorHAnsi"/>
              </w:rPr>
              <w:t>Ηλεκτρογεννήτριες</w:t>
            </w:r>
            <w:r w:rsidR="008F5AB0" w:rsidRPr="0096673D">
              <w:rPr>
                <w:rFonts w:asciiTheme="minorHAnsi" w:hAnsiTheme="minorHAnsi" w:cstheme="minorHAnsi"/>
              </w:rPr>
              <w:t xml:space="preserve"> και μηχανολογικός εξοπλισμός επαναχρησιμοποίησης υδάτων</w:t>
            </w:r>
          </w:p>
        </w:tc>
        <w:tc>
          <w:tcPr>
            <w:tcW w:w="1413" w:type="dxa"/>
            <w:shd w:val="clear" w:color="auto" w:fill="auto"/>
            <w:noWrap/>
            <w:vAlign w:val="center"/>
            <w:hideMark/>
          </w:tcPr>
          <w:p w:rsidR="0051755C" w:rsidRPr="0096673D" w:rsidRDefault="0051755C"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12</w:t>
            </w:r>
          </w:p>
        </w:tc>
        <w:tc>
          <w:tcPr>
            <w:tcW w:w="1131" w:type="dxa"/>
            <w:shd w:val="clear" w:color="auto" w:fill="auto"/>
            <w:noWrap/>
            <w:vAlign w:val="center"/>
            <w:hideMark/>
          </w:tcPr>
          <w:p w:rsidR="0051755C" w:rsidRPr="0096673D" w:rsidRDefault="0051755C"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8,33%</w:t>
            </w:r>
          </w:p>
        </w:tc>
        <w:tc>
          <w:tcPr>
            <w:tcW w:w="1979" w:type="dxa"/>
            <w:shd w:val="clear" w:color="auto" w:fill="auto"/>
            <w:vAlign w:val="center"/>
          </w:tcPr>
          <w:p w:rsidR="0051755C" w:rsidRPr="0096673D" w:rsidRDefault="00BF0454" w:rsidP="005619D9">
            <w:pPr>
              <w:spacing w:after="0" w:line="240" w:lineRule="auto"/>
              <w:jc w:val="center"/>
              <w:rPr>
                <w:rFonts w:asciiTheme="minorHAnsi" w:hAnsiTheme="minorHAnsi" w:cstheme="minorHAnsi"/>
                <w:b/>
                <w:bCs/>
              </w:rPr>
            </w:pPr>
            <w:r w:rsidRPr="0096673D">
              <w:rPr>
                <w:rFonts w:asciiTheme="minorHAnsi" w:hAnsiTheme="minorHAnsi" w:cstheme="minorHAnsi"/>
                <w:b/>
                <w:bCs/>
              </w:rPr>
              <w:t>2</w:t>
            </w:r>
          </w:p>
        </w:tc>
      </w:tr>
      <w:tr w:rsidR="0051755C" w:rsidRPr="0096673D" w:rsidTr="00FD3B6F">
        <w:trPr>
          <w:trHeight w:val="300"/>
        </w:trPr>
        <w:tc>
          <w:tcPr>
            <w:tcW w:w="5508" w:type="dxa"/>
            <w:shd w:val="clear" w:color="auto" w:fill="auto"/>
            <w:hideMark/>
          </w:tcPr>
          <w:p w:rsidR="0051755C" w:rsidRPr="0096673D" w:rsidRDefault="0051755C" w:rsidP="00702083">
            <w:pPr>
              <w:spacing w:after="0" w:line="240" w:lineRule="auto"/>
              <w:rPr>
                <w:rFonts w:asciiTheme="minorHAnsi" w:hAnsiTheme="minorHAnsi" w:cstheme="minorHAnsi"/>
              </w:rPr>
            </w:pPr>
            <w:r w:rsidRPr="0096673D">
              <w:rPr>
                <w:rFonts w:asciiTheme="minorHAnsi" w:hAnsiTheme="minorHAnsi" w:cstheme="minorHAnsi"/>
              </w:rPr>
              <w:t>Α</w:t>
            </w:r>
            <w:r w:rsidR="00E84DF4" w:rsidRPr="0096673D">
              <w:rPr>
                <w:rFonts w:asciiTheme="minorHAnsi" w:hAnsiTheme="minorHAnsi" w:cstheme="minorHAnsi"/>
              </w:rPr>
              <w:t xml:space="preserve">ρδευτικά συστήματα </w:t>
            </w:r>
            <w:r w:rsidR="00177D4B" w:rsidRPr="0096673D">
              <w:rPr>
                <w:rFonts w:asciiTheme="minorHAnsi" w:hAnsiTheme="minorHAnsi" w:cstheme="minorHAnsi"/>
              </w:rPr>
              <w:t>(</w:t>
            </w:r>
            <w:r w:rsidR="00FD3B6F" w:rsidRPr="0096673D">
              <w:rPr>
                <w:rFonts w:asciiTheme="minorHAnsi" w:hAnsiTheme="minorHAnsi" w:cstheme="minorHAnsi"/>
              </w:rPr>
              <w:t>αφορά αντικατάσταση</w:t>
            </w:r>
            <w:r w:rsidR="00702083" w:rsidRPr="0096673D">
              <w:rPr>
                <w:rFonts w:asciiTheme="minorHAnsi" w:hAnsiTheme="minorHAnsi" w:cstheme="minorHAnsi"/>
              </w:rPr>
              <w:t xml:space="preserve"> </w:t>
            </w:r>
            <w:r w:rsidR="00177D4B" w:rsidRPr="0096673D">
              <w:rPr>
                <w:rFonts w:asciiTheme="minorHAnsi" w:hAnsiTheme="minorHAnsi" w:cstheme="minorHAnsi"/>
              </w:rPr>
              <w:t xml:space="preserve">από </w:t>
            </w:r>
            <w:r w:rsidR="00F50389" w:rsidRPr="0096673D">
              <w:rPr>
                <w:rFonts w:asciiTheme="minorHAnsi" w:hAnsiTheme="minorHAnsi" w:cstheme="minorHAnsi"/>
              </w:rPr>
              <w:t xml:space="preserve">ιδίου τύπου </w:t>
            </w:r>
            <w:r w:rsidR="00177D4B" w:rsidRPr="0096673D">
              <w:rPr>
                <w:rFonts w:asciiTheme="minorHAnsi" w:hAnsiTheme="minorHAnsi" w:cstheme="minorHAnsi"/>
              </w:rPr>
              <w:t>αρδευτικό σύστημα)</w:t>
            </w:r>
          </w:p>
        </w:tc>
        <w:tc>
          <w:tcPr>
            <w:tcW w:w="1413" w:type="dxa"/>
            <w:shd w:val="clear" w:color="auto" w:fill="auto"/>
            <w:noWrap/>
            <w:vAlign w:val="center"/>
            <w:hideMark/>
          </w:tcPr>
          <w:p w:rsidR="0051755C" w:rsidRPr="0096673D" w:rsidRDefault="0051755C" w:rsidP="00727EA4">
            <w:pPr>
              <w:spacing w:after="0" w:line="240" w:lineRule="auto"/>
              <w:jc w:val="center"/>
              <w:rPr>
                <w:rFonts w:asciiTheme="minorHAnsi" w:hAnsiTheme="minorHAnsi" w:cstheme="minorHAnsi"/>
                <w:b/>
                <w:bCs/>
              </w:rPr>
            </w:pPr>
            <w:r w:rsidRPr="0096673D">
              <w:rPr>
                <w:rFonts w:asciiTheme="minorHAnsi" w:hAnsiTheme="minorHAnsi" w:cstheme="minorHAnsi"/>
                <w:b/>
                <w:bCs/>
              </w:rPr>
              <w:t>8</w:t>
            </w:r>
          </w:p>
        </w:tc>
        <w:tc>
          <w:tcPr>
            <w:tcW w:w="1131" w:type="dxa"/>
            <w:shd w:val="clear" w:color="auto" w:fill="auto"/>
            <w:noWrap/>
            <w:vAlign w:val="center"/>
            <w:hideMark/>
          </w:tcPr>
          <w:p w:rsidR="0051755C" w:rsidRPr="0096673D" w:rsidRDefault="0051755C" w:rsidP="00727EA4">
            <w:pPr>
              <w:spacing w:after="0" w:line="240" w:lineRule="auto"/>
              <w:jc w:val="center"/>
              <w:rPr>
                <w:rFonts w:asciiTheme="minorHAnsi" w:hAnsiTheme="minorHAnsi" w:cstheme="minorHAnsi"/>
                <w:b/>
                <w:bCs/>
              </w:rPr>
            </w:pPr>
            <w:r w:rsidRPr="0096673D">
              <w:rPr>
                <w:rFonts w:asciiTheme="minorHAnsi" w:hAnsiTheme="minorHAnsi" w:cstheme="minorHAnsi"/>
                <w:b/>
                <w:bCs/>
              </w:rPr>
              <w:t>12,50%</w:t>
            </w:r>
          </w:p>
        </w:tc>
        <w:tc>
          <w:tcPr>
            <w:tcW w:w="1979" w:type="dxa"/>
            <w:shd w:val="clear" w:color="auto" w:fill="auto"/>
            <w:vAlign w:val="center"/>
          </w:tcPr>
          <w:p w:rsidR="0051755C" w:rsidRPr="0096673D" w:rsidRDefault="00177D4B">
            <w:pPr>
              <w:spacing w:after="0" w:line="240" w:lineRule="auto"/>
              <w:jc w:val="center"/>
              <w:rPr>
                <w:rFonts w:asciiTheme="minorHAnsi" w:hAnsiTheme="minorHAnsi" w:cstheme="minorHAnsi"/>
                <w:b/>
                <w:bCs/>
              </w:rPr>
            </w:pPr>
            <w:r w:rsidRPr="0096673D">
              <w:rPr>
                <w:rFonts w:asciiTheme="minorHAnsi" w:hAnsiTheme="minorHAnsi" w:cstheme="minorHAnsi"/>
                <w:b/>
                <w:bCs/>
              </w:rPr>
              <w:t>2</w:t>
            </w:r>
          </w:p>
        </w:tc>
      </w:tr>
      <w:tr w:rsidR="0051755C" w:rsidRPr="0096673D" w:rsidTr="00FD3B6F">
        <w:trPr>
          <w:trHeight w:val="315"/>
        </w:trPr>
        <w:tc>
          <w:tcPr>
            <w:tcW w:w="5508" w:type="dxa"/>
            <w:shd w:val="clear" w:color="auto" w:fill="auto"/>
            <w:noWrap/>
            <w:hideMark/>
          </w:tcPr>
          <w:p w:rsidR="0051755C" w:rsidRPr="0096673D" w:rsidRDefault="0029289E" w:rsidP="00177D4B">
            <w:pPr>
              <w:spacing w:after="0" w:line="240" w:lineRule="auto"/>
              <w:rPr>
                <w:rFonts w:asciiTheme="minorHAnsi" w:hAnsiTheme="minorHAnsi" w:cstheme="minorHAnsi"/>
              </w:rPr>
            </w:pPr>
            <w:r w:rsidRPr="0096673D">
              <w:rPr>
                <w:rFonts w:asciiTheme="minorHAnsi" w:hAnsiTheme="minorHAnsi" w:cstheme="minorHAnsi"/>
              </w:rPr>
              <w:t xml:space="preserve">Εξοπλισμός Η/Υ, κύριος και περιφερειακός και </w:t>
            </w:r>
            <w:r w:rsidR="00177D4B" w:rsidRPr="0096673D">
              <w:rPr>
                <w:rFonts w:asciiTheme="minorHAnsi" w:hAnsiTheme="minorHAnsi" w:cstheme="minorHAnsi"/>
              </w:rPr>
              <w:t>λογισμικό</w:t>
            </w:r>
          </w:p>
        </w:tc>
        <w:tc>
          <w:tcPr>
            <w:tcW w:w="1413" w:type="dxa"/>
            <w:shd w:val="clear" w:color="auto" w:fill="auto"/>
            <w:noWrap/>
            <w:vAlign w:val="center"/>
            <w:hideMark/>
          </w:tcPr>
          <w:p w:rsidR="0051755C" w:rsidRPr="0096673D" w:rsidRDefault="0051755C" w:rsidP="00727EA4">
            <w:pPr>
              <w:spacing w:after="0" w:line="240" w:lineRule="auto"/>
              <w:jc w:val="center"/>
              <w:rPr>
                <w:rFonts w:asciiTheme="minorHAnsi" w:hAnsiTheme="minorHAnsi" w:cstheme="minorHAnsi"/>
                <w:b/>
                <w:bCs/>
              </w:rPr>
            </w:pPr>
            <w:r w:rsidRPr="0096673D">
              <w:rPr>
                <w:rFonts w:asciiTheme="minorHAnsi" w:hAnsiTheme="minorHAnsi" w:cstheme="minorHAnsi"/>
                <w:b/>
                <w:bCs/>
              </w:rPr>
              <w:t>5</w:t>
            </w:r>
          </w:p>
        </w:tc>
        <w:tc>
          <w:tcPr>
            <w:tcW w:w="1131" w:type="dxa"/>
            <w:shd w:val="clear" w:color="auto" w:fill="auto"/>
            <w:noWrap/>
            <w:vAlign w:val="center"/>
            <w:hideMark/>
          </w:tcPr>
          <w:p w:rsidR="0051755C" w:rsidRPr="0096673D" w:rsidRDefault="0051755C" w:rsidP="00727EA4">
            <w:pPr>
              <w:spacing w:after="0" w:line="240" w:lineRule="auto"/>
              <w:jc w:val="center"/>
              <w:rPr>
                <w:rFonts w:asciiTheme="minorHAnsi" w:hAnsiTheme="minorHAnsi" w:cstheme="minorHAnsi"/>
                <w:b/>
                <w:bCs/>
              </w:rPr>
            </w:pPr>
            <w:r w:rsidRPr="0096673D">
              <w:rPr>
                <w:rFonts w:asciiTheme="minorHAnsi" w:hAnsiTheme="minorHAnsi" w:cstheme="minorHAnsi"/>
                <w:b/>
                <w:bCs/>
              </w:rPr>
              <w:t>20,00%</w:t>
            </w:r>
          </w:p>
        </w:tc>
        <w:tc>
          <w:tcPr>
            <w:tcW w:w="1979" w:type="dxa"/>
            <w:shd w:val="clear" w:color="auto" w:fill="auto"/>
            <w:vAlign w:val="center"/>
          </w:tcPr>
          <w:p w:rsidR="0051755C" w:rsidRPr="0096673D" w:rsidRDefault="0051755C" w:rsidP="00727EA4">
            <w:pPr>
              <w:spacing w:after="0" w:line="240" w:lineRule="auto"/>
              <w:jc w:val="center"/>
              <w:rPr>
                <w:rFonts w:asciiTheme="minorHAnsi" w:hAnsiTheme="minorHAnsi" w:cstheme="minorHAnsi"/>
                <w:b/>
                <w:bCs/>
              </w:rPr>
            </w:pPr>
            <w:r w:rsidRPr="0096673D">
              <w:rPr>
                <w:rFonts w:asciiTheme="minorHAnsi" w:hAnsiTheme="minorHAnsi" w:cstheme="minorHAnsi"/>
                <w:b/>
                <w:bCs/>
              </w:rPr>
              <w:t>1</w:t>
            </w:r>
          </w:p>
        </w:tc>
      </w:tr>
      <w:tr w:rsidR="0029289E" w:rsidRPr="0096673D" w:rsidTr="00FD3B6F">
        <w:trPr>
          <w:trHeight w:val="315"/>
        </w:trPr>
        <w:tc>
          <w:tcPr>
            <w:tcW w:w="5508" w:type="dxa"/>
            <w:shd w:val="clear" w:color="auto" w:fill="auto"/>
            <w:noWrap/>
          </w:tcPr>
          <w:p w:rsidR="0029289E" w:rsidRPr="0096673D" w:rsidRDefault="0029289E" w:rsidP="0029289E">
            <w:pPr>
              <w:spacing w:after="0" w:line="240" w:lineRule="auto"/>
              <w:rPr>
                <w:rFonts w:asciiTheme="minorHAnsi" w:hAnsiTheme="minorHAnsi" w:cstheme="minorHAnsi"/>
              </w:rPr>
            </w:pPr>
            <w:r w:rsidRPr="0096673D">
              <w:rPr>
                <w:rFonts w:asciiTheme="minorHAnsi" w:hAnsiTheme="minorHAnsi" w:cstheme="minorHAnsi"/>
              </w:rPr>
              <w:t>Λοιπά μηχανήματα και εξοπλισμός εκτός Η/Υ και λογισμικού</w:t>
            </w:r>
          </w:p>
        </w:tc>
        <w:tc>
          <w:tcPr>
            <w:tcW w:w="1413" w:type="dxa"/>
            <w:shd w:val="clear" w:color="auto" w:fill="auto"/>
            <w:noWrap/>
            <w:vAlign w:val="center"/>
          </w:tcPr>
          <w:p w:rsidR="0029289E" w:rsidRPr="0096673D" w:rsidRDefault="0029289E" w:rsidP="00727EA4">
            <w:pPr>
              <w:spacing w:after="0" w:line="240" w:lineRule="auto"/>
              <w:jc w:val="center"/>
              <w:rPr>
                <w:rFonts w:asciiTheme="minorHAnsi" w:hAnsiTheme="minorHAnsi" w:cstheme="minorHAnsi"/>
                <w:b/>
                <w:bCs/>
                <w:lang w:val="en-US"/>
              </w:rPr>
            </w:pPr>
            <w:r w:rsidRPr="0096673D">
              <w:rPr>
                <w:rFonts w:asciiTheme="minorHAnsi" w:hAnsiTheme="minorHAnsi" w:cstheme="minorHAnsi"/>
                <w:b/>
                <w:bCs/>
                <w:lang w:val="en-US"/>
              </w:rPr>
              <w:t>10</w:t>
            </w:r>
          </w:p>
        </w:tc>
        <w:tc>
          <w:tcPr>
            <w:tcW w:w="1131" w:type="dxa"/>
            <w:shd w:val="clear" w:color="auto" w:fill="auto"/>
            <w:noWrap/>
            <w:vAlign w:val="center"/>
          </w:tcPr>
          <w:p w:rsidR="0029289E" w:rsidRPr="0096673D" w:rsidRDefault="0029289E" w:rsidP="00727EA4">
            <w:pPr>
              <w:spacing w:after="0" w:line="240" w:lineRule="auto"/>
              <w:jc w:val="center"/>
              <w:rPr>
                <w:rFonts w:asciiTheme="minorHAnsi" w:hAnsiTheme="minorHAnsi" w:cstheme="minorHAnsi"/>
                <w:b/>
                <w:bCs/>
                <w:lang w:val="en-US"/>
              </w:rPr>
            </w:pPr>
            <w:r w:rsidRPr="0096673D">
              <w:rPr>
                <w:rFonts w:asciiTheme="minorHAnsi" w:hAnsiTheme="minorHAnsi" w:cstheme="minorHAnsi"/>
                <w:b/>
                <w:bCs/>
                <w:lang w:val="en-US"/>
              </w:rPr>
              <w:t>10%</w:t>
            </w:r>
          </w:p>
        </w:tc>
        <w:tc>
          <w:tcPr>
            <w:tcW w:w="1979" w:type="dxa"/>
            <w:shd w:val="clear" w:color="auto" w:fill="auto"/>
            <w:vAlign w:val="center"/>
          </w:tcPr>
          <w:p w:rsidR="0029289E" w:rsidRPr="0096673D" w:rsidRDefault="0029289E" w:rsidP="00727EA4">
            <w:pPr>
              <w:spacing w:after="0" w:line="240" w:lineRule="auto"/>
              <w:jc w:val="center"/>
              <w:rPr>
                <w:rFonts w:asciiTheme="minorHAnsi" w:hAnsiTheme="minorHAnsi" w:cstheme="minorHAnsi"/>
                <w:b/>
                <w:bCs/>
                <w:lang w:val="en-US"/>
              </w:rPr>
            </w:pPr>
            <w:r w:rsidRPr="0096673D">
              <w:rPr>
                <w:rFonts w:asciiTheme="minorHAnsi" w:hAnsiTheme="minorHAnsi" w:cstheme="minorHAnsi"/>
                <w:b/>
                <w:bCs/>
                <w:lang w:val="en-US"/>
              </w:rPr>
              <w:t>2</w:t>
            </w:r>
          </w:p>
        </w:tc>
      </w:tr>
    </w:tbl>
    <w:p w:rsidR="00FA23B3" w:rsidRPr="0096673D" w:rsidRDefault="00FA23B3">
      <w:pPr>
        <w:spacing w:after="0"/>
        <w:rPr>
          <w:rFonts w:asciiTheme="minorHAnsi" w:hAnsiTheme="minorHAnsi" w:cstheme="minorHAnsi"/>
        </w:rPr>
      </w:pPr>
    </w:p>
    <w:p w:rsidR="009827C7" w:rsidRPr="0096673D" w:rsidRDefault="008245FB" w:rsidP="00794B3D">
      <w:pPr>
        <w:spacing w:after="0"/>
        <w:jc w:val="both"/>
        <w:rPr>
          <w:rFonts w:asciiTheme="minorHAnsi" w:hAnsiTheme="minorHAnsi" w:cstheme="minorHAnsi"/>
          <w:b/>
        </w:rPr>
      </w:pPr>
      <w:r w:rsidRPr="0096673D">
        <w:rPr>
          <w:rFonts w:asciiTheme="minorHAnsi" w:hAnsiTheme="minorHAnsi" w:cstheme="minorHAnsi"/>
          <w:b/>
        </w:rPr>
        <w:t>Π</w:t>
      </w:r>
      <w:r w:rsidR="00794B3D" w:rsidRPr="0096673D">
        <w:rPr>
          <w:rFonts w:asciiTheme="minorHAnsi" w:hAnsiTheme="minorHAnsi" w:cstheme="minorHAnsi"/>
          <w:b/>
        </w:rPr>
        <w:t>αράδειγμα</w:t>
      </w:r>
      <w:r w:rsidR="009827C7" w:rsidRPr="0096673D">
        <w:rPr>
          <w:rFonts w:asciiTheme="minorHAnsi" w:hAnsiTheme="minorHAnsi" w:cstheme="minorHAnsi"/>
          <w:b/>
        </w:rPr>
        <w:t xml:space="preserve"> για τη </w:t>
      </w:r>
      <w:r w:rsidR="0096673D">
        <w:rPr>
          <w:rFonts w:asciiTheme="minorHAnsi" w:hAnsiTheme="minorHAnsi" w:cstheme="minorHAnsi"/>
          <w:b/>
        </w:rPr>
        <w:t xml:space="preserve">χρήση </w:t>
      </w:r>
      <w:r w:rsidR="009827C7" w:rsidRPr="0096673D">
        <w:rPr>
          <w:rFonts w:asciiTheme="minorHAnsi" w:hAnsiTheme="minorHAnsi" w:cstheme="minorHAnsi"/>
          <w:b/>
        </w:rPr>
        <w:t xml:space="preserve">του ανωτέρω πίνακα: </w:t>
      </w:r>
    </w:p>
    <w:p w:rsidR="0096673D" w:rsidRDefault="0096673D" w:rsidP="0096673D">
      <w:pPr>
        <w:autoSpaceDE w:val="0"/>
        <w:autoSpaceDN w:val="0"/>
        <w:adjustRightInd w:val="0"/>
        <w:spacing w:after="120"/>
        <w:jc w:val="both"/>
      </w:pPr>
      <w:r>
        <w:t xml:space="preserve">Έστω ότι </w:t>
      </w:r>
      <w:r w:rsidRPr="00293BA2">
        <w:t>υποψήφιος αιτείται τη στήριξη αγοράς καινούργιας αντλίας νερού με αιτούμενη δαπάνη 5.000</w:t>
      </w:r>
      <w:r>
        <w:t xml:space="preserve"> </w:t>
      </w:r>
      <w:r w:rsidRPr="00293BA2">
        <w:t>€ ενώ διαθέτει μηχάνημα ίδιας χρήσης ηλικίας 18 ετών σύμφωνα με τα τηρούμενα λογιστικά στοιχεία</w:t>
      </w:r>
      <w:r>
        <w:t>.</w:t>
      </w:r>
    </w:p>
    <w:p w:rsidR="0096673D" w:rsidRDefault="0096673D" w:rsidP="0096673D">
      <w:pPr>
        <w:autoSpaceDE w:val="0"/>
        <w:autoSpaceDN w:val="0"/>
        <w:adjustRightInd w:val="0"/>
        <w:spacing w:after="120"/>
        <w:jc w:val="both"/>
      </w:pPr>
      <w:r w:rsidRPr="00293BA2">
        <w:t xml:space="preserve">Πρώτα ελέγχουμε αν τα έτη για τα οποία πρέπει να υπολογιστεί η απόσβεση είναι λιγότερα ή ίσα προς το 20% των συνολικών ετών που αναφέρονται στο </w:t>
      </w:r>
      <w:r>
        <w:t>πίνακα</w:t>
      </w:r>
      <w:r w:rsidRPr="00293BA2">
        <w:t xml:space="preserve"> για τη συγκεκριμένη επένδυση. </w:t>
      </w:r>
    </w:p>
    <w:p w:rsidR="0096673D" w:rsidRDefault="0096673D" w:rsidP="0096673D">
      <w:pPr>
        <w:autoSpaceDE w:val="0"/>
        <w:autoSpaceDN w:val="0"/>
        <w:adjustRightInd w:val="0"/>
        <w:spacing w:after="120"/>
        <w:jc w:val="both"/>
      </w:pPr>
      <w:r w:rsidRPr="00293BA2">
        <w:t xml:space="preserve">Τα έτη παλαιότητας μετά τα οποία μπορεί να αντικατασταθεί </w:t>
      </w:r>
      <w:r>
        <w:t>η αντλία</w:t>
      </w:r>
      <w:r w:rsidRPr="00293BA2">
        <w:t xml:space="preserve"> σύμφωνα με το </w:t>
      </w:r>
      <w:r>
        <w:t>παραπάνω πίνακα</w:t>
      </w:r>
      <w:r w:rsidRPr="00293BA2">
        <w:t xml:space="preserve"> είναι 20 και συνεπώς τα έτη για τα οποία πρέπει να υπολογιστεί η απόσβεση είναι 2</w:t>
      </w:r>
      <w:r>
        <w:t xml:space="preserve"> (=20-18)</w:t>
      </w:r>
      <w:r w:rsidRPr="00293BA2">
        <w:t xml:space="preserve">. </w:t>
      </w:r>
      <w:r w:rsidRPr="0096673D">
        <w:t>Άρα 2/20 = 0,10% το οποίο είναι μικρότερο από 20% και συνεπώς προχωρούμε στον υπολογισμό της επιλέξιμης δαπάνης</w:t>
      </w:r>
      <w:r>
        <w:t>.</w:t>
      </w:r>
    </w:p>
    <w:p w:rsidR="0096673D" w:rsidRPr="00293BA2" w:rsidRDefault="0096673D" w:rsidP="0096673D">
      <w:pPr>
        <w:autoSpaceDE w:val="0"/>
        <w:autoSpaceDN w:val="0"/>
        <w:adjustRightInd w:val="0"/>
        <w:spacing w:after="120"/>
        <w:jc w:val="both"/>
      </w:pPr>
      <w:r w:rsidRPr="00293BA2">
        <w:t>Η επιλέξιμη δαπάνη υπολογίζεται ως εξής:</w:t>
      </w:r>
    </w:p>
    <w:p w:rsidR="0096673D" w:rsidRPr="0096673D" w:rsidRDefault="00115F96" w:rsidP="0096673D">
      <w:pPr>
        <w:autoSpaceDE w:val="0"/>
        <w:autoSpaceDN w:val="0"/>
        <w:adjustRightInd w:val="0"/>
        <w:spacing w:after="120"/>
        <w:jc w:val="both"/>
      </w:pPr>
      <w:r>
        <w:t>Αιτούμενη δαπάνη</w:t>
      </w:r>
      <w:r w:rsidR="0096673D">
        <w:t xml:space="preserve"> - (</w:t>
      </w:r>
      <w:r>
        <w:t xml:space="preserve">αιτούμενη δαπάνη </w:t>
      </w:r>
      <w:r w:rsidR="0096673D">
        <w:rPr>
          <w:lang w:val="en-US"/>
        </w:rPr>
        <w:t>x</w:t>
      </w:r>
      <w:r w:rsidR="0096673D" w:rsidRPr="0096673D">
        <w:t xml:space="preserve"> </w:t>
      </w:r>
      <w:r w:rsidR="0096673D">
        <w:t xml:space="preserve">συντελεστή απόσβεσης </w:t>
      </w:r>
      <w:r w:rsidR="006C1342">
        <w:t xml:space="preserve">(στήλη 2 πίνακα) </w:t>
      </w:r>
      <w:r w:rsidR="0096673D">
        <w:rPr>
          <w:lang w:val="en-US"/>
        </w:rPr>
        <w:t>x</w:t>
      </w:r>
      <w:r w:rsidR="0096673D" w:rsidRPr="0096673D">
        <w:t xml:space="preserve"> </w:t>
      </w:r>
      <w:r w:rsidR="0096673D">
        <w:t>έτη που υπολείπονται για την απόσβεση)</w:t>
      </w:r>
    </w:p>
    <w:p w:rsidR="0096673D" w:rsidRPr="00293BA2" w:rsidRDefault="0096673D" w:rsidP="0096673D">
      <w:pPr>
        <w:autoSpaceDE w:val="0"/>
        <w:autoSpaceDN w:val="0"/>
        <w:adjustRightInd w:val="0"/>
        <w:spacing w:after="120"/>
      </w:pPr>
      <w:r w:rsidRPr="00293BA2">
        <w:t xml:space="preserve">5.000€ - (5.000€ × 5,00% × 2)=5.000€ - (250€ × 2) = 4.500€ </w:t>
      </w:r>
      <w:bookmarkStart w:id="0" w:name="_GoBack"/>
      <w:bookmarkEnd w:id="0"/>
    </w:p>
    <w:sectPr w:rsidR="0096673D" w:rsidRPr="00293BA2" w:rsidSect="00427312">
      <w:pgSz w:w="11906" w:h="16838"/>
      <w:pgMar w:top="851" w:right="1134" w:bottom="1276" w:left="1134" w:header="708" w:footer="8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2E8" w:rsidRDefault="00A532E8" w:rsidP="00AE00BF">
      <w:pPr>
        <w:spacing w:after="0" w:line="240" w:lineRule="auto"/>
      </w:pPr>
      <w:r>
        <w:separator/>
      </w:r>
    </w:p>
  </w:endnote>
  <w:endnote w:type="continuationSeparator" w:id="0">
    <w:p w:rsidR="00A532E8" w:rsidRDefault="00A532E8" w:rsidP="00AE00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2E8" w:rsidRDefault="00A532E8" w:rsidP="00AE00BF">
      <w:pPr>
        <w:spacing w:after="0" w:line="240" w:lineRule="auto"/>
      </w:pPr>
      <w:r>
        <w:separator/>
      </w:r>
    </w:p>
  </w:footnote>
  <w:footnote w:type="continuationSeparator" w:id="0">
    <w:p w:rsidR="00A532E8" w:rsidRDefault="00A532E8" w:rsidP="00AE00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7D2D8F"/>
    <w:multiLevelType w:val="hybridMultilevel"/>
    <w:tmpl w:val="DD4C3AA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6C9E46EB"/>
    <w:multiLevelType w:val="hybridMultilevel"/>
    <w:tmpl w:val="3D96ED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3B3"/>
    <w:rsid w:val="00005099"/>
    <w:rsid w:val="00033D9F"/>
    <w:rsid w:val="00055BF6"/>
    <w:rsid w:val="000D3962"/>
    <w:rsid w:val="000F3B30"/>
    <w:rsid w:val="00115F96"/>
    <w:rsid w:val="00177D4B"/>
    <w:rsid w:val="001936DF"/>
    <w:rsid w:val="00197B44"/>
    <w:rsid w:val="001A16CD"/>
    <w:rsid w:val="002332C7"/>
    <w:rsid w:val="0029289E"/>
    <w:rsid w:val="00302A57"/>
    <w:rsid w:val="00390807"/>
    <w:rsid w:val="00427312"/>
    <w:rsid w:val="004506F6"/>
    <w:rsid w:val="00486963"/>
    <w:rsid w:val="004B13C5"/>
    <w:rsid w:val="004E239F"/>
    <w:rsid w:val="004E3D60"/>
    <w:rsid w:val="0051755C"/>
    <w:rsid w:val="005619D9"/>
    <w:rsid w:val="005A6117"/>
    <w:rsid w:val="005F0D25"/>
    <w:rsid w:val="005F66C0"/>
    <w:rsid w:val="00622A15"/>
    <w:rsid w:val="0065314F"/>
    <w:rsid w:val="006C1342"/>
    <w:rsid w:val="006E0119"/>
    <w:rsid w:val="00702083"/>
    <w:rsid w:val="00727EA4"/>
    <w:rsid w:val="00776E1D"/>
    <w:rsid w:val="00794B3D"/>
    <w:rsid w:val="007D4683"/>
    <w:rsid w:val="008245FB"/>
    <w:rsid w:val="00825251"/>
    <w:rsid w:val="00880BB6"/>
    <w:rsid w:val="008D784B"/>
    <w:rsid w:val="008E7492"/>
    <w:rsid w:val="008F5AB0"/>
    <w:rsid w:val="008F6E5B"/>
    <w:rsid w:val="00903A82"/>
    <w:rsid w:val="0095330C"/>
    <w:rsid w:val="0096673D"/>
    <w:rsid w:val="009827C7"/>
    <w:rsid w:val="00992830"/>
    <w:rsid w:val="009954F4"/>
    <w:rsid w:val="009A427C"/>
    <w:rsid w:val="00A44147"/>
    <w:rsid w:val="00A532E8"/>
    <w:rsid w:val="00A96344"/>
    <w:rsid w:val="00AE00BF"/>
    <w:rsid w:val="00B23DEA"/>
    <w:rsid w:val="00B61C19"/>
    <w:rsid w:val="00B62D2B"/>
    <w:rsid w:val="00B77C00"/>
    <w:rsid w:val="00BB169F"/>
    <w:rsid w:val="00BF0454"/>
    <w:rsid w:val="00BF216D"/>
    <w:rsid w:val="00BF683B"/>
    <w:rsid w:val="00C112C8"/>
    <w:rsid w:val="00C670E0"/>
    <w:rsid w:val="00CA5BFC"/>
    <w:rsid w:val="00CC188D"/>
    <w:rsid w:val="00CD63FE"/>
    <w:rsid w:val="00D0722A"/>
    <w:rsid w:val="00D57CD3"/>
    <w:rsid w:val="00DB6C19"/>
    <w:rsid w:val="00DE354F"/>
    <w:rsid w:val="00E05402"/>
    <w:rsid w:val="00E63C58"/>
    <w:rsid w:val="00E84DF4"/>
    <w:rsid w:val="00EB3855"/>
    <w:rsid w:val="00EF06C4"/>
    <w:rsid w:val="00F11FFB"/>
    <w:rsid w:val="00F12060"/>
    <w:rsid w:val="00F2379A"/>
    <w:rsid w:val="00F50389"/>
    <w:rsid w:val="00FA23B3"/>
    <w:rsid w:val="00FC2963"/>
    <w:rsid w:val="00FD3B6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docId w15:val="{400BEC97-5A87-4EC6-B69F-D13B401D4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lang w:eastAsia="en-US"/>
    </w:rPr>
  </w:style>
  <w:style w:type="paragraph" w:styleId="2">
    <w:name w:val="heading 2"/>
    <w:basedOn w:val="a"/>
    <w:next w:val="a"/>
    <w:link w:val="2Char"/>
    <w:uiPriority w:val="99"/>
    <w:semiHidden/>
    <w:unhideWhenUsed/>
    <w:qFormat/>
    <w:rsid w:val="00992830"/>
    <w:pPr>
      <w:keepNext/>
      <w:keepLines/>
      <w:spacing w:before="200" w:after="0" w:line="240" w:lineRule="auto"/>
      <w:jc w:val="both"/>
      <w:outlineLvl w:val="1"/>
    </w:pPr>
    <w:rPr>
      <w:rFonts w:ascii="Cambria" w:eastAsia="Times New Roman" w:hAnsi="Cambria" w:cs="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A2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Char"/>
    <w:uiPriority w:val="99"/>
    <w:semiHidden/>
    <w:unhideWhenUsed/>
    <w:rsid w:val="00992830"/>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992830"/>
    <w:rPr>
      <w:rFonts w:ascii="Tahoma" w:hAnsi="Tahoma" w:cs="Tahoma"/>
      <w:sz w:val="16"/>
      <w:szCs w:val="16"/>
      <w:lang w:eastAsia="en-US"/>
    </w:rPr>
  </w:style>
  <w:style w:type="character" w:customStyle="1" w:styleId="2Char">
    <w:name w:val="Επικεφαλίδα 2 Char"/>
    <w:basedOn w:val="a0"/>
    <w:link w:val="2"/>
    <w:uiPriority w:val="99"/>
    <w:semiHidden/>
    <w:rsid w:val="00992830"/>
    <w:rPr>
      <w:rFonts w:ascii="Cambria" w:eastAsia="Times New Roman" w:hAnsi="Cambria" w:cs="Cambria"/>
      <w:b/>
      <w:bCs/>
      <w:color w:val="4F81BD"/>
      <w:sz w:val="26"/>
      <w:szCs w:val="26"/>
      <w:lang w:eastAsia="en-US"/>
    </w:rPr>
  </w:style>
  <w:style w:type="paragraph" w:styleId="a5">
    <w:name w:val="header"/>
    <w:basedOn w:val="a"/>
    <w:link w:val="Char0"/>
    <w:uiPriority w:val="99"/>
    <w:unhideWhenUsed/>
    <w:rsid w:val="00AE00BF"/>
    <w:pPr>
      <w:tabs>
        <w:tab w:val="center" w:pos="4153"/>
        <w:tab w:val="right" w:pos="8306"/>
      </w:tabs>
      <w:spacing w:after="0" w:line="240" w:lineRule="auto"/>
    </w:pPr>
  </w:style>
  <w:style w:type="character" w:customStyle="1" w:styleId="Char0">
    <w:name w:val="Κεφαλίδα Char"/>
    <w:basedOn w:val="a0"/>
    <w:link w:val="a5"/>
    <w:uiPriority w:val="99"/>
    <w:rsid w:val="00AE00BF"/>
    <w:rPr>
      <w:sz w:val="22"/>
      <w:szCs w:val="22"/>
      <w:lang w:eastAsia="en-US"/>
    </w:rPr>
  </w:style>
  <w:style w:type="paragraph" w:styleId="a6">
    <w:name w:val="footer"/>
    <w:basedOn w:val="a"/>
    <w:link w:val="Char1"/>
    <w:uiPriority w:val="99"/>
    <w:unhideWhenUsed/>
    <w:rsid w:val="00AE00BF"/>
    <w:pPr>
      <w:tabs>
        <w:tab w:val="center" w:pos="4153"/>
        <w:tab w:val="right" w:pos="8306"/>
      </w:tabs>
      <w:spacing w:after="0" w:line="240" w:lineRule="auto"/>
    </w:pPr>
  </w:style>
  <w:style w:type="character" w:customStyle="1" w:styleId="Char1">
    <w:name w:val="Υποσέλιδο Char"/>
    <w:basedOn w:val="a0"/>
    <w:link w:val="a6"/>
    <w:uiPriority w:val="99"/>
    <w:rsid w:val="00AE00BF"/>
    <w:rPr>
      <w:sz w:val="22"/>
      <w:szCs w:val="22"/>
      <w:lang w:eastAsia="en-US"/>
    </w:rPr>
  </w:style>
  <w:style w:type="character" w:styleId="a7">
    <w:name w:val="annotation reference"/>
    <w:basedOn w:val="a0"/>
    <w:uiPriority w:val="99"/>
    <w:semiHidden/>
    <w:unhideWhenUsed/>
    <w:rsid w:val="005F66C0"/>
    <w:rPr>
      <w:sz w:val="16"/>
      <w:szCs w:val="16"/>
    </w:rPr>
  </w:style>
  <w:style w:type="paragraph" w:styleId="a8">
    <w:name w:val="annotation text"/>
    <w:basedOn w:val="a"/>
    <w:link w:val="Char2"/>
    <w:uiPriority w:val="99"/>
    <w:semiHidden/>
    <w:unhideWhenUsed/>
    <w:rsid w:val="005F66C0"/>
    <w:pPr>
      <w:spacing w:line="240" w:lineRule="auto"/>
    </w:pPr>
    <w:rPr>
      <w:sz w:val="20"/>
      <w:szCs w:val="20"/>
    </w:rPr>
  </w:style>
  <w:style w:type="character" w:customStyle="1" w:styleId="Char2">
    <w:name w:val="Κείμενο σχολίου Char"/>
    <w:basedOn w:val="a0"/>
    <w:link w:val="a8"/>
    <w:uiPriority w:val="99"/>
    <w:semiHidden/>
    <w:rsid w:val="005F66C0"/>
    <w:rPr>
      <w:lang w:eastAsia="en-US"/>
    </w:rPr>
  </w:style>
  <w:style w:type="paragraph" w:styleId="a9">
    <w:name w:val="annotation subject"/>
    <w:basedOn w:val="a8"/>
    <w:next w:val="a8"/>
    <w:link w:val="Char3"/>
    <w:uiPriority w:val="99"/>
    <w:semiHidden/>
    <w:unhideWhenUsed/>
    <w:rsid w:val="005F66C0"/>
    <w:rPr>
      <w:b/>
      <w:bCs/>
    </w:rPr>
  </w:style>
  <w:style w:type="character" w:customStyle="1" w:styleId="Char3">
    <w:name w:val="Θέμα σχολίου Char"/>
    <w:basedOn w:val="Char2"/>
    <w:link w:val="a9"/>
    <w:uiPriority w:val="99"/>
    <w:semiHidden/>
    <w:rsid w:val="005F66C0"/>
    <w:rPr>
      <w:b/>
      <w:bCs/>
      <w:lang w:eastAsia="en-US"/>
    </w:rPr>
  </w:style>
  <w:style w:type="paragraph" w:styleId="aa">
    <w:name w:val="Revision"/>
    <w:hidden/>
    <w:uiPriority w:val="99"/>
    <w:semiHidden/>
    <w:rsid w:val="005F66C0"/>
    <w:rPr>
      <w:sz w:val="22"/>
      <w:szCs w:val="22"/>
      <w:lang w:eastAsia="en-US"/>
    </w:rPr>
  </w:style>
  <w:style w:type="paragraph" w:styleId="ab">
    <w:name w:val="List Paragraph"/>
    <w:basedOn w:val="a"/>
    <w:uiPriority w:val="34"/>
    <w:qFormat/>
    <w:rsid w:val="00F503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384935">
      <w:bodyDiv w:val="1"/>
      <w:marLeft w:val="0"/>
      <w:marRight w:val="0"/>
      <w:marTop w:val="0"/>
      <w:marBottom w:val="0"/>
      <w:divBdr>
        <w:top w:val="none" w:sz="0" w:space="0" w:color="auto"/>
        <w:left w:val="none" w:sz="0" w:space="0" w:color="auto"/>
        <w:bottom w:val="none" w:sz="0" w:space="0" w:color="auto"/>
        <w:right w:val="none" w:sz="0" w:space="0" w:color="auto"/>
      </w:divBdr>
    </w:div>
    <w:div w:id="507599213">
      <w:bodyDiv w:val="1"/>
      <w:marLeft w:val="0"/>
      <w:marRight w:val="0"/>
      <w:marTop w:val="0"/>
      <w:marBottom w:val="0"/>
      <w:divBdr>
        <w:top w:val="none" w:sz="0" w:space="0" w:color="auto"/>
        <w:left w:val="none" w:sz="0" w:space="0" w:color="auto"/>
        <w:bottom w:val="none" w:sz="0" w:space="0" w:color="auto"/>
        <w:right w:val="none" w:sz="0" w:space="0" w:color="auto"/>
      </w:divBdr>
    </w:div>
    <w:div w:id="1600678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42D2D-9984-40DE-BF3D-29C0DD824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361</Words>
  <Characters>1955</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ΚΟΚΟΛΗΣ ΒΑΣΙΛΕΙΟΣ</dc:creator>
  <cp:lastModifiedBy>ΑΛΕΥΡΑ ΕΛΕΝΗ</cp:lastModifiedBy>
  <cp:revision>9</cp:revision>
  <cp:lastPrinted>2019-11-13T11:28:00Z</cp:lastPrinted>
  <dcterms:created xsi:type="dcterms:W3CDTF">2019-12-27T10:27:00Z</dcterms:created>
  <dcterms:modified xsi:type="dcterms:W3CDTF">2019-12-31T09:54:00Z</dcterms:modified>
</cp:coreProperties>
</file>