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2E41" w14:textId="77777777" w:rsidR="00E00A88" w:rsidRPr="00270719" w:rsidRDefault="003C6663" w:rsidP="00E00A88">
      <w:pPr>
        <w:spacing w:after="0" w:line="240" w:lineRule="auto"/>
        <w:jc w:val="center"/>
        <w:rPr>
          <w:b/>
          <w:sz w:val="24"/>
          <w:szCs w:val="24"/>
        </w:rPr>
      </w:pPr>
      <w:r w:rsidRPr="00270719">
        <w:rPr>
          <w:b/>
          <w:sz w:val="24"/>
          <w:szCs w:val="24"/>
        </w:rPr>
        <w:t>Π</w:t>
      </w:r>
      <w:r w:rsidR="00E00A88" w:rsidRPr="00270719">
        <w:rPr>
          <w:b/>
          <w:sz w:val="24"/>
          <w:szCs w:val="24"/>
        </w:rPr>
        <w:t>ΑΡΑΡΤΗΜΑ</w:t>
      </w:r>
      <w:r w:rsidRPr="00270719">
        <w:rPr>
          <w:b/>
          <w:sz w:val="24"/>
          <w:szCs w:val="24"/>
        </w:rPr>
        <w:t xml:space="preserve"> 3</w:t>
      </w:r>
    </w:p>
    <w:p w14:paraId="70504A01" w14:textId="6A351709" w:rsidR="00E00A88" w:rsidRPr="0087515F" w:rsidRDefault="000D36EF" w:rsidP="00E00A88">
      <w:pPr>
        <w:spacing w:after="0" w:line="240" w:lineRule="auto"/>
        <w:jc w:val="center"/>
      </w:pPr>
      <w:r w:rsidRPr="000D36EF">
        <w:t>(Το παράρτημα αποτελεί αναπ</w:t>
      </w:r>
      <w:r w:rsidR="00841E2B">
        <w:t>όσπαστο τμήμα της Υ.Α. -----/ηη−μμ−202</w:t>
      </w:r>
      <w:r w:rsidR="00D44179">
        <w:t>3</w:t>
      </w:r>
      <w:r w:rsidRPr="000D36EF">
        <w:t>)</w:t>
      </w:r>
    </w:p>
    <w:p w14:paraId="5333F2C3" w14:textId="77777777" w:rsidR="00E00A88" w:rsidRPr="0087515F" w:rsidRDefault="00E00A88" w:rsidP="00A037CA">
      <w:pPr>
        <w:spacing w:after="0" w:line="240" w:lineRule="auto"/>
        <w:rPr>
          <w:b/>
        </w:rPr>
      </w:pPr>
    </w:p>
    <w:p w14:paraId="0AF4F9FC" w14:textId="77777777" w:rsidR="00AC2883" w:rsidRPr="0087515F" w:rsidRDefault="00AC2883" w:rsidP="00E00A88">
      <w:pPr>
        <w:spacing w:after="0" w:line="240" w:lineRule="auto"/>
        <w:jc w:val="center"/>
        <w:rPr>
          <w:b/>
        </w:rPr>
      </w:pPr>
      <w:r w:rsidRPr="0087515F">
        <w:rPr>
          <w:b/>
        </w:rPr>
        <w:t>Μ</w:t>
      </w:r>
      <w:r w:rsidR="00E00A88" w:rsidRPr="0087515F">
        <w:rPr>
          <w:b/>
        </w:rPr>
        <w:t>ΕΘΟΔΟΛΟΓΙΑ</w:t>
      </w:r>
      <w:r w:rsidRPr="0087515F">
        <w:rPr>
          <w:b/>
        </w:rPr>
        <w:t xml:space="preserve"> Ε</w:t>
      </w:r>
      <w:r w:rsidR="00E00A88" w:rsidRPr="0087515F">
        <w:rPr>
          <w:b/>
        </w:rPr>
        <w:t>ΚΛΟΓΗΣ</w:t>
      </w:r>
      <w:r w:rsidRPr="0087515F">
        <w:rPr>
          <w:b/>
        </w:rPr>
        <w:t xml:space="preserve"> </w:t>
      </w:r>
      <w:r w:rsidR="00E00A88" w:rsidRPr="0087515F">
        <w:rPr>
          <w:b/>
        </w:rPr>
        <w:t>ΓΕΩΡΓΙΚΟΥ ΕΛΚΥΣΤΗΡΑ</w:t>
      </w:r>
    </w:p>
    <w:p w14:paraId="6E76C1BD" w14:textId="77777777" w:rsidR="008301E8" w:rsidRDefault="008301E8" w:rsidP="0087515F">
      <w:pPr>
        <w:jc w:val="both"/>
        <w:rPr>
          <w:strike/>
        </w:rPr>
      </w:pPr>
    </w:p>
    <w:p w14:paraId="38A6836E" w14:textId="35252E87" w:rsidR="0087515F" w:rsidRDefault="0087515F" w:rsidP="0087515F">
      <w:pPr>
        <w:jc w:val="both"/>
      </w:pPr>
      <w:r>
        <w:t>Η ιπποδύναμη και το είδος του ελκυστήρα για τις ανάγκες της εκμετάλλευσης</w:t>
      </w:r>
      <w:r w:rsidRPr="000302AC">
        <w:t xml:space="preserve"> </w:t>
      </w:r>
      <w:r>
        <w:t>προσδιορίζονται</w:t>
      </w:r>
      <w:r w:rsidRPr="000302AC">
        <w:t xml:space="preserve"> </w:t>
      </w:r>
      <w:r>
        <w:t xml:space="preserve">με την βοήθεια του αλγορίθμου </w:t>
      </w:r>
      <w:r w:rsidRPr="00001127">
        <w:t>TEMPORAL ENERGY REQUIREMENT SATISFACTION</w:t>
      </w:r>
      <w:r>
        <w:t xml:space="preserve"> (</w:t>
      </w:r>
      <w:proofErr w:type="spellStart"/>
      <w:r>
        <w:t>TEReS</w:t>
      </w:r>
      <w:proofErr w:type="spellEnd"/>
      <w:r>
        <w:t>)</w:t>
      </w:r>
      <w:r w:rsidRPr="00DF6EFF">
        <w:t xml:space="preserve"> </w:t>
      </w:r>
      <w:r>
        <w:t>ο οποίος</w:t>
      </w:r>
      <w:r w:rsidRPr="000302AC">
        <w:t xml:space="preserve"> </w:t>
      </w:r>
      <w:r>
        <w:t>αναπτύχτηκε από το Γ</w:t>
      </w:r>
      <w:r w:rsidR="00BC68B8">
        <w:t>εωπονικό Πανεπιστήμιο Αθηνών γ</w:t>
      </w:r>
      <w:r>
        <w:t>ια τις ανάγκες του προγράμματος</w:t>
      </w:r>
      <w:r w:rsidR="00D766B5">
        <w:t xml:space="preserve"> και έχει αναρτηθεί στην ιστοσελίδα </w:t>
      </w:r>
      <w:hyperlink r:id="rId7" w:history="1">
        <w:r w:rsidR="00D766B5" w:rsidRPr="00FA4370">
          <w:rPr>
            <w:rStyle w:val="-"/>
            <w:lang w:val="en-US"/>
          </w:rPr>
          <w:t>www</w:t>
        </w:r>
        <w:r w:rsidR="00D766B5" w:rsidRPr="00D766B5">
          <w:rPr>
            <w:rStyle w:val="-"/>
          </w:rPr>
          <w:t>.</w:t>
        </w:r>
        <w:proofErr w:type="spellStart"/>
        <w:r w:rsidR="00D766B5" w:rsidRPr="00FA4370">
          <w:rPr>
            <w:rStyle w:val="-"/>
            <w:lang w:val="en-US"/>
          </w:rPr>
          <w:t>agrotikianaptixi</w:t>
        </w:r>
        <w:proofErr w:type="spellEnd"/>
        <w:r w:rsidR="00D766B5" w:rsidRPr="00D766B5">
          <w:rPr>
            <w:rStyle w:val="-"/>
          </w:rPr>
          <w:t>.</w:t>
        </w:r>
        <w:r w:rsidR="00D766B5" w:rsidRPr="00FA4370">
          <w:rPr>
            <w:rStyle w:val="-"/>
            <w:lang w:val="en-US"/>
          </w:rPr>
          <w:t>gr</w:t>
        </w:r>
      </w:hyperlink>
      <w:r w:rsidR="00D766B5" w:rsidRPr="00D766B5">
        <w:t xml:space="preserve"> </w:t>
      </w:r>
      <w:r>
        <w:t>.</w:t>
      </w:r>
      <w:r w:rsidRPr="00D00B12">
        <w:t xml:space="preserve"> </w:t>
      </w:r>
    </w:p>
    <w:p w14:paraId="670CD3C6" w14:textId="77777777" w:rsidR="0087515F" w:rsidRDefault="0087515F" w:rsidP="0087515F">
      <w:pPr>
        <w:jc w:val="both"/>
      </w:pPr>
      <w:r w:rsidRPr="00D00B12">
        <w:t>Για την ανάπτυξη του αλγορίθμου</w:t>
      </w:r>
      <w:r>
        <w:t xml:space="preserve"> έχει ληφθεί</w:t>
      </w:r>
      <w:r w:rsidRPr="000302AC">
        <w:t xml:space="preserve"> </w:t>
      </w:r>
      <w:r w:rsidRPr="00D00B12">
        <w:t xml:space="preserve">υπόψη το </w:t>
      </w:r>
      <w:r>
        <w:t>είδος της καλλιέργειας</w:t>
      </w:r>
      <w:r w:rsidR="00BC68B8">
        <w:t>, η</w:t>
      </w:r>
      <w:r>
        <w:t xml:space="preserve"> έκτασή της και</w:t>
      </w:r>
      <w:r w:rsidRPr="000302AC">
        <w:t xml:space="preserve"> </w:t>
      </w:r>
      <w:r w:rsidRPr="00CA2E52">
        <w:t>το κόσ</w:t>
      </w:r>
      <w:r>
        <w:t xml:space="preserve">τος </w:t>
      </w:r>
      <w:proofErr w:type="spellStart"/>
      <w:r>
        <w:t>εγκαιρότητας</w:t>
      </w:r>
      <w:proofErr w:type="spellEnd"/>
      <w:r>
        <w:t xml:space="preserve"> των επεμβάσεων. Για το τελευταίο συγκεντρώθηκαν δεδομένα που αφορούσαν</w:t>
      </w:r>
      <w:r w:rsidRPr="000302AC">
        <w:t xml:space="preserve"> </w:t>
      </w:r>
      <w:r w:rsidRPr="00CA2E52">
        <w:t>το είδος της καλλιέρ</w:t>
      </w:r>
      <w:r>
        <w:t>γειας, την ποικιλία</w:t>
      </w:r>
      <w:r w:rsidR="00BC68B8">
        <w:t xml:space="preserve"> και</w:t>
      </w:r>
      <w:r>
        <w:t xml:space="preserve"> τα μετεωρολογικά στοιχειά της περιοχής ώστε να υπολογιστούν οι</w:t>
      </w:r>
      <w:r w:rsidRPr="000302AC">
        <w:t xml:space="preserve"> </w:t>
      </w:r>
      <w:r w:rsidRPr="00CA2E52">
        <w:t>ημέρες υστέρησης κάθε εργασίας</w:t>
      </w:r>
      <w:r>
        <w:t>. Κατά συνέπεια</w:t>
      </w:r>
      <w:r w:rsidRPr="000302AC">
        <w:t xml:space="preserve"> </w:t>
      </w:r>
      <w:r>
        <w:t xml:space="preserve">για τον υπολογισμό της </w:t>
      </w:r>
      <w:proofErr w:type="spellStart"/>
      <w:r>
        <w:t>απαιτουμένης</w:t>
      </w:r>
      <w:proofErr w:type="spellEnd"/>
      <w:r>
        <w:t xml:space="preserve"> ισχύος γεωργικών ελκυστήρων για την κάλυψη των πραγματικών αναγκών </w:t>
      </w:r>
      <w:r w:rsidRPr="000B5132">
        <w:t>τω</w:t>
      </w:r>
      <w:r>
        <w:t>ν γεωργικών εκμεταλλεύσεων λαμβάνονται επίσης υπόψη</w:t>
      </w:r>
      <w:r w:rsidRPr="000302AC">
        <w:t xml:space="preserve"> </w:t>
      </w:r>
      <w:r>
        <w:t>οι εποχιακές ενεργειακές</w:t>
      </w:r>
      <w:r w:rsidRPr="000302AC">
        <w:t xml:space="preserve"> </w:t>
      </w:r>
      <w:r>
        <w:t>απαιτήσεις</w:t>
      </w:r>
      <w:r w:rsidRPr="000B5132">
        <w:t xml:space="preserve"> και το διαθέσιμο χρονικό διάστημα για την εξασφάλιση αυτών.</w:t>
      </w:r>
    </w:p>
    <w:p w14:paraId="72253156" w14:textId="77777777" w:rsidR="0087515F" w:rsidRDefault="0087515F" w:rsidP="0087515F">
      <w:pPr>
        <w:jc w:val="both"/>
      </w:pPr>
      <w:r>
        <w:t>Με βάση τον ανωτέρω αλγόριθμο σχεδιάστηκε λογισμικό (</w:t>
      </w:r>
      <w:proofErr w:type="spellStart"/>
      <w:r>
        <w:t>TEReS</w:t>
      </w:r>
      <w:proofErr w:type="spellEnd"/>
      <w:r>
        <w:t>) για την εκτίμηση της απαραίτητης ισχύος των ελκυστήρων η οποία βασίζεται στην κάλυψη των πραγματικών ενεργειακών αναγκών καθ’ όλη τη διάρκεια του έτους</w:t>
      </w:r>
      <w:r w:rsidRPr="00AD2F4D">
        <w:t xml:space="preserve">. </w:t>
      </w:r>
      <w:r w:rsidR="00A15CD6" w:rsidRPr="00AD2F4D">
        <w:t>Για λόγους εύρεσης του κατάλληλου ελκυστήρα υπό τις συνθήκες της αγοράς μηχανημάτων, οι ιπποδυνάμεις που προκύπτουν από τη χρήση του αλγορίθμου</w:t>
      </w:r>
      <w:r w:rsidR="00736F98" w:rsidRPr="00AD2F4D">
        <w:t xml:space="preserve"> ή του κατωτέρω πίνακα</w:t>
      </w:r>
      <w:r w:rsidR="00A15CD6" w:rsidRPr="00AD2F4D">
        <w:t xml:space="preserve"> μπορεί να προσαυξάνονται </w:t>
      </w:r>
      <w:r w:rsidR="00AD2F4D">
        <w:t>μέχρι και</w:t>
      </w:r>
      <w:r w:rsidR="00A15CD6" w:rsidRPr="00AD2F4D">
        <w:t xml:space="preserve"> 10 ίππους.</w:t>
      </w:r>
      <w:r w:rsidR="00A15CD6">
        <w:t xml:space="preserve"> </w:t>
      </w:r>
    </w:p>
    <w:p w14:paraId="17E2AB5A" w14:textId="4B36A921" w:rsidR="003E0729" w:rsidRPr="003E0729" w:rsidRDefault="008301E8" w:rsidP="003E0729">
      <w:pPr>
        <w:jc w:val="both"/>
      </w:pPr>
      <w:r>
        <w:t xml:space="preserve">Είναι δυνατή η ενίσχυση ενός μόνο ελκυστήρα για το σύνολο του επενδυτικού σχεδίου. </w:t>
      </w:r>
      <w:r w:rsidR="00BC68B8">
        <w:t>Κατά</w:t>
      </w:r>
      <w:r w:rsidR="003E0729">
        <w:t xml:space="preserve"> παρέκκλιση του ανωτέρω </w:t>
      </w:r>
      <w:r w:rsidR="00EE13F9">
        <w:t>αλγορίθμου</w:t>
      </w:r>
      <w:r w:rsidR="003E0729">
        <w:t xml:space="preserve">, </w:t>
      </w:r>
      <w:r w:rsidR="00EE13F9">
        <w:t xml:space="preserve">είναι δυνατή η ενίσχυση </w:t>
      </w:r>
      <w:r>
        <w:t xml:space="preserve">ελκυστήρα </w:t>
      </w:r>
      <w:r w:rsidR="003E0729">
        <w:t>με τις εξής προϋποθέσεις: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134"/>
        <w:gridCol w:w="5103"/>
        <w:gridCol w:w="1984"/>
      </w:tblGrid>
      <w:tr w:rsidR="003E0729" w:rsidRPr="00FA653A" w14:paraId="7B4CEC0E" w14:textId="77777777" w:rsidTr="003F5089">
        <w:trPr>
          <w:trHeight w:val="315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6DD45FF4" w14:textId="77777777" w:rsidR="003E0729" w:rsidRPr="00FA653A" w:rsidRDefault="003E0729" w:rsidP="00BC68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Επενδυτικές Δαπάνες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71FFB1" w14:textId="77777777" w:rsidR="003E0729" w:rsidRPr="00FA653A" w:rsidRDefault="003E0729" w:rsidP="00BC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5103" w:type="dxa"/>
            <w:vAlign w:val="center"/>
          </w:tcPr>
          <w:p w14:paraId="3B6ADA14" w14:textId="77777777" w:rsidR="003E0729" w:rsidRPr="00FA653A" w:rsidRDefault="003E0729" w:rsidP="00E73A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Περιορισμός</w:t>
            </w:r>
            <w:r w:rsidR="006A5F5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στη </w:t>
            </w:r>
            <w:r w:rsidR="00E73A8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</w:t>
            </w:r>
            <w:r w:rsidR="009C000D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ελλοντική</w:t>
            </w:r>
            <w:r w:rsidR="006A5F5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E73A83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</w:t>
            </w:r>
            <w:r w:rsidR="006A5F51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ατάσταση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3D14A0" w14:textId="77777777" w:rsidR="003E0729" w:rsidRPr="00FA653A" w:rsidRDefault="003E0729" w:rsidP="00BC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FA653A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Δυναμικότητα</w:t>
            </w:r>
          </w:p>
        </w:tc>
      </w:tr>
      <w:tr w:rsidR="00265FF6" w:rsidRPr="00FA653A" w14:paraId="63A634DA" w14:textId="77777777" w:rsidTr="003F5089">
        <w:trPr>
          <w:trHeight w:val="647"/>
        </w:trPr>
        <w:tc>
          <w:tcPr>
            <w:tcW w:w="1433" w:type="dxa"/>
            <w:vMerge w:val="restart"/>
            <w:shd w:val="clear" w:color="auto" w:fill="auto"/>
            <w:noWrap/>
            <w:vAlign w:val="center"/>
          </w:tcPr>
          <w:p w14:paraId="5108BC30" w14:textId="77777777" w:rsidR="00265FF6" w:rsidRPr="00C922A6" w:rsidRDefault="00265FF6" w:rsidP="00265F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A44091">
              <w:rPr>
                <w:rFonts w:ascii="Calibri" w:eastAsia="Times New Roman" w:hAnsi="Calibri" w:cs="Times New Roman"/>
                <w:color w:val="000000"/>
                <w:lang w:eastAsia="el-GR"/>
              </w:rPr>
              <w:t>Ελκυστήρας</w:t>
            </w:r>
          </w:p>
          <w:p w14:paraId="572854E1" w14:textId="77777777" w:rsidR="00265FF6" w:rsidRPr="00FA653A" w:rsidRDefault="00265FF6" w:rsidP="00BC6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4D149A" w14:textId="77777777" w:rsidR="00265FF6" w:rsidRDefault="00265FF6" w:rsidP="00BC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5103" w:type="dxa"/>
            <w:vAlign w:val="center"/>
          </w:tcPr>
          <w:p w14:paraId="451C421E" w14:textId="1F4912A6" w:rsidR="00265FF6" w:rsidRPr="00145F55" w:rsidRDefault="00E90807" w:rsidP="00E90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45F55">
              <w:rPr>
                <w:rFonts w:ascii="Calibri" w:eastAsia="Times New Roman" w:hAnsi="Calibri" w:cs="Times New Roman"/>
                <w:color w:val="000000"/>
                <w:lang w:eastAsia="el-GR"/>
              </w:rPr>
              <w:t>Καλλιέργεια δενδρωδών καλλιεργειών ή/και αμπελώνων ή/και κηπ</w:t>
            </w:r>
            <w:r w:rsidR="00A037CA" w:rsidRPr="00145F55">
              <w:rPr>
                <w:rFonts w:ascii="Calibri" w:eastAsia="Times New Roman" w:hAnsi="Calibri" w:cs="Times New Roman"/>
                <w:color w:val="000000"/>
                <w:lang w:eastAsia="el-GR"/>
              </w:rPr>
              <w:t>ευτικών σε έκταση τουλάχιστον 4</w:t>
            </w:r>
            <w:r w:rsidR="00145F5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  <w:r w:rsidRPr="00145F5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στρεμμάτων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821617F" w14:textId="77777777" w:rsidR="00265FF6" w:rsidRPr="00736F98" w:rsidRDefault="00E90807" w:rsidP="00736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 w:rsidRPr="00736F9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έως </w:t>
            </w:r>
            <w:r w:rsidR="00736F98" w:rsidRPr="00736F98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  <w:r w:rsidR="00265FF6" w:rsidRPr="00736F9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="00265FF6" w:rsidRPr="00736F98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hp</w:t>
            </w:r>
          </w:p>
        </w:tc>
      </w:tr>
      <w:tr w:rsidR="00265FF6" w:rsidRPr="00FA653A" w14:paraId="27BFD4E5" w14:textId="77777777" w:rsidTr="003F5089">
        <w:trPr>
          <w:trHeight w:val="300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7A4688BA" w14:textId="77777777" w:rsidR="00265FF6" w:rsidRDefault="00265FF6" w:rsidP="00BC6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F8393C" w14:textId="77777777" w:rsidR="00265FF6" w:rsidRDefault="00265FF6" w:rsidP="00BC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5103" w:type="dxa"/>
            <w:vAlign w:val="center"/>
          </w:tcPr>
          <w:p w14:paraId="13B8A1C5" w14:textId="3ECA1175" w:rsidR="00265FF6" w:rsidRPr="00145F55" w:rsidRDefault="00230654" w:rsidP="002306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45F55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Καλλιέργεια δενδρωδών καλλιεργειών ή/και αμπελώνων ή/και κηπευτικών σε έκταση τουλάχιστον </w:t>
            </w:r>
            <w:r w:rsidR="00145F55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  <w:r w:rsidRPr="00145F55">
              <w:rPr>
                <w:rFonts w:ascii="Calibri" w:eastAsia="Times New Roman" w:hAnsi="Calibri" w:cs="Times New Roman"/>
                <w:color w:val="000000"/>
                <w:lang w:eastAsia="el-GR"/>
              </w:rPr>
              <w:t>0 στρεμμάτων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D22B67E" w14:textId="77777777" w:rsidR="00265FF6" w:rsidRPr="00230654" w:rsidRDefault="00230654" w:rsidP="00736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έως </w:t>
            </w:r>
            <w:r w:rsidR="00736F98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hp</w:t>
            </w:r>
          </w:p>
        </w:tc>
      </w:tr>
      <w:tr w:rsidR="00230654" w:rsidRPr="00FA653A" w14:paraId="0256201F" w14:textId="77777777" w:rsidTr="003F5089">
        <w:trPr>
          <w:trHeight w:val="300"/>
        </w:trPr>
        <w:tc>
          <w:tcPr>
            <w:tcW w:w="143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5715DC" w14:textId="77777777" w:rsidR="00230654" w:rsidRPr="003E0729" w:rsidRDefault="00230654" w:rsidP="00BC6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4307" w14:textId="77777777" w:rsidR="00230654" w:rsidRDefault="00230654" w:rsidP="00BC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66E4" w14:textId="125CDDEB" w:rsidR="00230654" w:rsidRDefault="00230654" w:rsidP="00BC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Καλλιέργειες σε έκταση τουλάχιστον 1</w:t>
            </w:r>
            <w:r w:rsidR="003F5089" w:rsidRPr="003F5089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0 στρεμμάτων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22B3" w14:textId="77777777" w:rsidR="00230654" w:rsidRPr="00736F98" w:rsidRDefault="00230654" w:rsidP="00736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36F9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έως </w:t>
            </w:r>
            <w:r w:rsidR="00736F98" w:rsidRPr="00736F98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  <w:r w:rsidRPr="00736F9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="00254415" w:rsidRPr="00736F98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</w:t>
            </w:r>
            <w:r w:rsidRPr="00736F98"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hp</w:t>
            </w:r>
          </w:p>
        </w:tc>
      </w:tr>
      <w:tr w:rsidR="003F5089" w:rsidRPr="00FA653A" w14:paraId="49FE6882" w14:textId="77777777" w:rsidTr="00AB6258">
        <w:trPr>
          <w:trHeight w:val="1611"/>
        </w:trPr>
        <w:tc>
          <w:tcPr>
            <w:tcW w:w="143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1AF8BD" w14:textId="77777777" w:rsidR="003F5089" w:rsidRPr="003E0729" w:rsidRDefault="003F5089" w:rsidP="00BC68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53C55" w14:textId="1D963A1D" w:rsidR="003F5089" w:rsidRDefault="003F5089" w:rsidP="00BC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DD5CF" w14:textId="77777777" w:rsidR="003F5089" w:rsidRDefault="003F5089" w:rsidP="00BC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F1A6F">
              <w:t xml:space="preserve">Εκτροφή τουλάχιστον: </w:t>
            </w:r>
            <w:r>
              <w:t>200</w:t>
            </w:r>
            <w:r w:rsidRPr="00AF1A6F">
              <w:t xml:space="preserve"> θηλυκών αιγοπροβάτων άνω του έτους σε ορεινές περιοχές (Οδηγία 85/148) ή 300 θηλυκών αιγοπροβάτων άνω του έτους στην υπόλοιπη χώρα ή 80 ΜΜΖ βοοειδών ή 100 </w:t>
            </w:r>
            <w:proofErr w:type="spellStart"/>
            <w:r w:rsidRPr="00AF1A6F">
              <w:t>χοιρομητέρων</w:t>
            </w:r>
            <w:proofErr w:type="spellEnd"/>
          </w:p>
          <w:p w14:paraId="7FA87945" w14:textId="27402A27" w:rsidR="003F5089" w:rsidRDefault="003F5089" w:rsidP="00BC68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3796" w14:textId="28A3EA82" w:rsidR="003F5089" w:rsidRPr="00230654" w:rsidRDefault="003F5089" w:rsidP="00736F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έως 70* </w:t>
            </w:r>
            <w:proofErr w:type="spellStart"/>
            <w:r w:rsidRPr="003E0729">
              <w:rPr>
                <w:rFonts w:ascii="Calibri" w:eastAsia="Times New Roman" w:hAnsi="Calibri" w:cs="Times New Roman"/>
                <w:color w:val="000000"/>
                <w:lang w:eastAsia="el-GR"/>
              </w:rPr>
              <w:t>hp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. </w:t>
            </w:r>
          </w:p>
        </w:tc>
      </w:tr>
    </w:tbl>
    <w:p w14:paraId="2D6FA0B2" w14:textId="77777777" w:rsidR="003E0729" w:rsidRPr="001447A2" w:rsidRDefault="003E0729" w:rsidP="003E0729">
      <w:pPr>
        <w:rPr>
          <w:b/>
        </w:rPr>
      </w:pPr>
    </w:p>
    <w:p w14:paraId="2E74A9E0" w14:textId="55E6A060" w:rsidR="00B97128" w:rsidRPr="00CE1BF2" w:rsidRDefault="00B97128" w:rsidP="00E00A88">
      <w:pPr>
        <w:spacing w:line="240" w:lineRule="auto"/>
        <w:jc w:val="both"/>
        <w:rPr>
          <w:strike/>
        </w:rPr>
      </w:pPr>
      <w:r>
        <w:rPr>
          <w:rFonts w:ascii="Calibri" w:eastAsia="Times New Roman" w:hAnsi="Calibri" w:cs="Times New Roman"/>
          <w:color w:val="000000"/>
          <w:lang w:eastAsia="el-GR"/>
        </w:rPr>
        <w:t xml:space="preserve">*Εξαίρεση για τη </w:t>
      </w:r>
      <w:proofErr w:type="spellStart"/>
      <w:r>
        <w:rPr>
          <w:rFonts w:ascii="Calibri" w:eastAsia="Times New Roman" w:hAnsi="Calibri" w:cs="Times New Roman"/>
          <w:color w:val="000000"/>
          <w:lang w:eastAsia="el-GR"/>
        </w:rPr>
        <w:t>βοοτροφία</w:t>
      </w:r>
      <w:proofErr w:type="spellEnd"/>
      <w:r>
        <w:rPr>
          <w:rFonts w:ascii="Calibri" w:eastAsia="Times New Roman" w:hAnsi="Calibri" w:cs="Times New Roman"/>
          <w:color w:val="000000"/>
          <w:lang w:eastAsia="el-GR"/>
        </w:rPr>
        <w:t xml:space="preserve"> και την </w:t>
      </w:r>
      <w:proofErr w:type="spellStart"/>
      <w:r>
        <w:rPr>
          <w:rFonts w:ascii="Calibri" w:eastAsia="Times New Roman" w:hAnsi="Calibri" w:cs="Times New Roman"/>
          <w:color w:val="000000"/>
          <w:lang w:eastAsia="el-GR"/>
        </w:rPr>
        <w:t>αιγοπροβατοτροφία</w:t>
      </w:r>
      <w:proofErr w:type="spellEnd"/>
      <w:r>
        <w:rPr>
          <w:rFonts w:ascii="Calibri" w:eastAsia="Times New Roman" w:hAnsi="Calibri" w:cs="Times New Roman"/>
          <w:color w:val="000000"/>
          <w:lang w:eastAsia="el-GR"/>
        </w:rPr>
        <w:t xml:space="preserve">: Στην περίπτωση όπου </w:t>
      </w:r>
      <w:r w:rsidR="00CE66C8">
        <w:rPr>
          <w:rFonts w:ascii="Calibri" w:eastAsia="Times New Roman" w:hAnsi="Calibri" w:cs="Times New Roman"/>
          <w:color w:val="000000"/>
          <w:lang w:eastAsia="el-GR"/>
        </w:rPr>
        <w:t>η εκμετάλλευση κατέχει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="00AD2F4D">
        <w:rPr>
          <w:rFonts w:ascii="Calibri" w:eastAsia="Times New Roman" w:hAnsi="Calibri" w:cs="Times New Roman"/>
          <w:color w:val="000000"/>
          <w:lang w:eastAsia="el-GR"/>
        </w:rPr>
        <w:t xml:space="preserve">ή θα κατέχει </w:t>
      </w:r>
      <w:r>
        <w:rPr>
          <w:rFonts w:ascii="Calibri" w:eastAsia="Times New Roman" w:hAnsi="Calibri" w:cs="Times New Roman"/>
          <w:color w:val="000000"/>
          <w:lang w:eastAsia="el-GR"/>
        </w:rPr>
        <w:t>μη αυτοκινούμενο</w:t>
      </w:r>
      <w:r w:rsidR="00CE66C8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el-GR"/>
        </w:rPr>
        <w:t>ενσιρ</w:t>
      </w:r>
      <w:r w:rsidR="00AE6F2D">
        <w:rPr>
          <w:rFonts w:ascii="Calibri" w:eastAsia="Times New Roman" w:hAnsi="Calibri" w:cs="Times New Roman"/>
          <w:color w:val="000000"/>
          <w:lang w:eastAsia="el-GR"/>
        </w:rPr>
        <w:t>ο</w:t>
      </w:r>
      <w:r>
        <w:rPr>
          <w:rFonts w:ascii="Calibri" w:eastAsia="Times New Roman" w:hAnsi="Calibri" w:cs="Times New Roman"/>
          <w:color w:val="000000"/>
          <w:lang w:eastAsia="el-GR"/>
        </w:rPr>
        <w:t>διανομέα</w:t>
      </w:r>
      <w:proofErr w:type="spellEnd"/>
      <w:r w:rsidR="00AD2F4D">
        <w:rPr>
          <w:rFonts w:ascii="Calibri" w:eastAsia="Times New Roman" w:hAnsi="Calibri" w:cs="Times New Roman"/>
          <w:color w:val="000000"/>
          <w:lang w:eastAsia="el-GR"/>
        </w:rPr>
        <w:t>,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 είναι δυνατή η αιτιολόγηση αγοράς ελκυστήρα ιπποδύναμης </w:t>
      </w:r>
      <w:r w:rsidR="00357072">
        <w:rPr>
          <w:rFonts w:ascii="Calibri" w:eastAsia="Times New Roman" w:hAnsi="Calibri" w:cs="Times New Roman"/>
          <w:color w:val="000000"/>
          <w:lang w:eastAsia="el-GR"/>
        </w:rPr>
        <w:t xml:space="preserve">ανάλογης των προδιαγραφών λειτουργίας του </w:t>
      </w:r>
      <w:proofErr w:type="spellStart"/>
      <w:r w:rsidR="00AD2F4D">
        <w:rPr>
          <w:rFonts w:ascii="Calibri" w:eastAsia="Times New Roman" w:hAnsi="Calibri" w:cs="Times New Roman"/>
          <w:color w:val="000000"/>
          <w:lang w:eastAsia="el-GR"/>
        </w:rPr>
        <w:t>ενσιροδιανομέα</w:t>
      </w:r>
      <w:proofErr w:type="spellEnd"/>
      <w:r w:rsidR="00AD2F4D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 w:rsidR="00866E07">
        <w:rPr>
          <w:rFonts w:ascii="Calibri" w:eastAsia="Times New Roman" w:hAnsi="Calibri" w:cs="Times New Roman"/>
          <w:color w:val="000000"/>
          <w:lang w:eastAsia="el-GR"/>
        </w:rPr>
        <w:t xml:space="preserve">και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μέχρι 100 </w:t>
      </w:r>
      <w:r w:rsidR="00E73A83">
        <w:rPr>
          <w:rFonts w:ascii="Calibri" w:eastAsia="Times New Roman" w:hAnsi="Calibri" w:cs="Times New Roman"/>
          <w:color w:val="000000"/>
          <w:lang w:eastAsia="el-GR"/>
        </w:rPr>
        <w:t>ίππων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. </w:t>
      </w:r>
    </w:p>
    <w:sectPr w:rsidR="00B97128" w:rsidRPr="00CE1BF2" w:rsidSect="00A15CD6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5BE5" w14:textId="77777777" w:rsidR="00E36282" w:rsidRDefault="00E36282" w:rsidP="003E0729">
      <w:pPr>
        <w:spacing w:after="0" w:line="240" w:lineRule="auto"/>
      </w:pPr>
      <w:r>
        <w:separator/>
      </w:r>
    </w:p>
  </w:endnote>
  <w:endnote w:type="continuationSeparator" w:id="0">
    <w:p w14:paraId="72DB1261" w14:textId="77777777" w:rsidR="00E36282" w:rsidRDefault="00E36282" w:rsidP="003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44F1" w14:textId="77777777" w:rsidR="00E36282" w:rsidRDefault="00E36282" w:rsidP="003E0729">
      <w:pPr>
        <w:spacing w:after="0" w:line="240" w:lineRule="auto"/>
      </w:pPr>
      <w:r>
        <w:separator/>
      </w:r>
    </w:p>
  </w:footnote>
  <w:footnote w:type="continuationSeparator" w:id="0">
    <w:p w14:paraId="0C364DA8" w14:textId="77777777" w:rsidR="00E36282" w:rsidRDefault="00E36282" w:rsidP="003E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6B98"/>
    <w:multiLevelType w:val="hybridMultilevel"/>
    <w:tmpl w:val="6D1A0D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32A73"/>
    <w:multiLevelType w:val="multilevel"/>
    <w:tmpl w:val="88FE0A2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9E1E81"/>
    <w:multiLevelType w:val="multilevel"/>
    <w:tmpl w:val="5C68889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02E1445"/>
    <w:multiLevelType w:val="multilevel"/>
    <w:tmpl w:val="AADA0CCA"/>
    <w:lvl w:ilvl="0">
      <w:start w:val="2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9C25F92"/>
    <w:multiLevelType w:val="multilevel"/>
    <w:tmpl w:val="C8D2B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8299021">
    <w:abstractNumId w:val="0"/>
  </w:num>
  <w:num w:numId="2" w16cid:durableId="2101826574">
    <w:abstractNumId w:val="2"/>
  </w:num>
  <w:num w:numId="3" w16cid:durableId="675769868">
    <w:abstractNumId w:val="4"/>
  </w:num>
  <w:num w:numId="4" w16cid:durableId="688213348">
    <w:abstractNumId w:val="1"/>
  </w:num>
  <w:num w:numId="5" w16cid:durableId="31156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883"/>
    <w:rsid w:val="00086687"/>
    <w:rsid w:val="000D36EF"/>
    <w:rsid w:val="000F3B30"/>
    <w:rsid w:val="00112627"/>
    <w:rsid w:val="00145F55"/>
    <w:rsid w:val="001A5B4A"/>
    <w:rsid w:val="001D016D"/>
    <w:rsid w:val="002244F0"/>
    <w:rsid w:val="00230654"/>
    <w:rsid w:val="00254415"/>
    <w:rsid w:val="00265FF6"/>
    <w:rsid w:val="00270719"/>
    <w:rsid w:val="00357072"/>
    <w:rsid w:val="003929D6"/>
    <w:rsid w:val="003C6663"/>
    <w:rsid w:val="003E0729"/>
    <w:rsid w:val="003F5089"/>
    <w:rsid w:val="00404707"/>
    <w:rsid w:val="00466B22"/>
    <w:rsid w:val="004E239F"/>
    <w:rsid w:val="00511505"/>
    <w:rsid w:val="006A5F51"/>
    <w:rsid w:val="00711B9B"/>
    <w:rsid w:val="00736F98"/>
    <w:rsid w:val="00750085"/>
    <w:rsid w:val="007D18B8"/>
    <w:rsid w:val="008301E8"/>
    <w:rsid w:val="00841E2B"/>
    <w:rsid w:val="00866E07"/>
    <w:rsid w:val="0087515F"/>
    <w:rsid w:val="00886078"/>
    <w:rsid w:val="009954F4"/>
    <w:rsid w:val="009C000D"/>
    <w:rsid w:val="009D7356"/>
    <w:rsid w:val="00A037CA"/>
    <w:rsid w:val="00A15CD6"/>
    <w:rsid w:val="00A408EA"/>
    <w:rsid w:val="00A46D52"/>
    <w:rsid w:val="00A60C83"/>
    <w:rsid w:val="00AC2883"/>
    <w:rsid w:val="00AD2F4D"/>
    <w:rsid w:val="00AE2F35"/>
    <w:rsid w:val="00AE6F2D"/>
    <w:rsid w:val="00AF5111"/>
    <w:rsid w:val="00B068CB"/>
    <w:rsid w:val="00B20441"/>
    <w:rsid w:val="00B270A7"/>
    <w:rsid w:val="00B97128"/>
    <w:rsid w:val="00BC68B8"/>
    <w:rsid w:val="00C20ECA"/>
    <w:rsid w:val="00CD6A7F"/>
    <w:rsid w:val="00CE1BF2"/>
    <w:rsid w:val="00CE66C8"/>
    <w:rsid w:val="00D44179"/>
    <w:rsid w:val="00D766B5"/>
    <w:rsid w:val="00DF3591"/>
    <w:rsid w:val="00E00A88"/>
    <w:rsid w:val="00E05402"/>
    <w:rsid w:val="00E36282"/>
    <w:rsid w:val="00E73A83"/>
    <w:rsid w:val="00E81BC6"/>
    <w:rsid w:val="00E90807"/>
    <w:rsid w:val="00E926A5"/>
    <w:rsid w:val="00EE13F9"/>
    <w:rsid w:val="00F2735D"/>
    <w:rsid w:val="00F81244"/>
    <w:rsid w:val="00FD48A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B427A"/>
  <w15:docId w15:val="{171A55BB-100A-4A9B-871E-36CFD716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99"/>
    <w:qFormat/>
    <w:rsid w:val="003C6663"/>
    <w:pPr>
      <w:ind w:left="720"/>
      <w:contextualSpacing/>
    </w:pPr>
  </w:style>
  <w:style w:type="paragraph" w:styleId="a4">
    <w:name w:val="footnote text"/>
    <w:basedOn w:val="a"/>
    <w:link w:val="Char0"/>
    <w:uiPriority w:val="99"/>
    <w:semiHidden/>
    <w:unhideWhenUsed/>
    <w:rsid w:val="003E0729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4"/>
    <w:uiPriority w:val="99"/>
    <w:semiHidden/>
    <w:rsid w:val="003E07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0729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BC6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BC68B8"/>
  </w:style>
  <w:style w:type="paragraph" w:styleId="a7">
    <w:name w:val="footer"/>
    <w:basedOn w:val="a"/>
    <w:link w:val="Char2"/>
    <w:uiPriority w:val="99"/>
    <w:unhideWhenUsed/>
    <w:rsid w:val="00BC6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BC68B8"/>
  </w:style>
  <w:style w:type="paragraph" w:styleId="a8">
    <w:name w:val="Balloon Text"/>
    <w:basedOn w:val="a"/>
    <w:link w:val="Char3"/>
    <w:uiPriority w:val="99"/>
    <w:semiHidden/>
    <w:unhideWhenUsed/>
    <w:rsid w:val="00BC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BC68B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766B5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068CB"/>
    <w:rPr>
      <w:sz w:val="16"/>
      <w:szCs w:val="16"/>
    </w:rPr>
  </w:style>
  <w:style w:type="paragraph" w:styleId="aa">
    <w:name w:val="annotation text"/>
    <w:basedOn w:val="a"/>
    <w:link w:val="Char4"/>
    <w:uiPriority w:val="99"/>
    <w:unhideWhenUsed/>
    <w:rsid w:val="00B068CB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a"/>
    <w:uiPriority w:val="99"/>
    <w:rsid w:val="00B068CB"/>
    <w:rPr>
      <w:sz w:val="20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B068CB"/>
    <w:rPr>
      <w:b/>
      <w:bCs/>
    </w:rPr>
  </w:style>
  <w:style w:type="character" w:customStyle="1" w:styleId="Char5">
    <w:name w:val="Θέμα σχολίου Char"/>
    <w:basedOn w:val="Char4"/>
    <w:link w:val="ab"/>
    <w:uiPriority w:val="99"/>
    <w:semiHidden/>
    <w:rsid w:val="00B068CB"/>
    <w:rPr>
      <w:b/>
      <w:bCs/>
      <w:sz w:val="20"/>
      <w:szCs w:val="20"/>
    </w:rPr>
  </w:style>
  <w:style w:type="character" w:customStyle="1" w:styleId="Char">
    <w:name w:val="Παράγραφος λίστας Char"/>
    <w:basedOn w:val="a0"/>
    <w:link w:val="a3"/>
    <w:uiPriority w:val="99"/>
    <w:rsid w:val="0083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rotikianaptix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ΚΟΚΟΛΗΣ ΒΑΣΙΛΕΙΟΣ</dc:creator>
  <cp:lastModifiedBy>ΤΣΙΑΤΟΥΡΑΣ ΕΥΘΥΜΙΟΣ</cp:lastModifiedBy>
  <cp:revision>11</cp:revision>
  <cp:lastPrinted>2017-12-06T11:53:00Z</cp:lastPrinted>
  <dcterms:created xsi:type="dcterms:W3CDTF">2018-03-31T17:35:00Z</dcterms:created>
  <dcterms:modified xsi:type="dcterms:W3CDTF">2022-12-22T08:21:00Z</dcterms:modified>
</cp:coreProperties>
</file>